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036AD" w14:textId="77777777" w:rsidR="00E933CB" w:rsidRDefault="00825B93">
      <w:pPr>
        <w:spacing w:after="163" w:line="259" w:lineRule="auto"/>
        <w:ind w:left="463" w:right="0" w:firstLine="0"/>
        <w:jc w:val="left"/>
      </w:pPr>
      <w:r>
        <w:rPr>
          <w:noProof/>
        </w:rPr>
        <w:drawing>
          <wp:inline distT="0" distB="0" distL="0" distR="0" wp14:anchorId="3CEFF4E6" wp14:editId="5C92DF70">
            <wp:extent cx="1454150" cy="5778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1454150" cy="577850"/>
                    </a:xfrm>
                    <a:prstGeom prst="rect">
                      <a:avLst/>
                    </a:prstGeom>
                  </pic:spPr>
                </pic:pic>
              </a:graphicData>
            </a:graphic>
          </wp:inline>
        </w:drawing>
      </w:r>
    </w:p>
    <w:p w14:paraId="33FE691C" w14:textId="77777777" w:rsidR="00E933CB" w:rsidRDefault="00825B93">
      <w:pPr>
        <w:spacing w:after="98" w:line="259" w:lineRule="auto"/>
        <w:ind w:left="1030" w:right="0" w:firstLine="0"/>
        <w:jc w:val="left"/>
      </w:pPr>
      <w:r>
        <w:t xml:space="preserve"> </w:t>
      </w:r>
    </w:p>
    <w:p w14:paraId="42131DFB" w14:textId="77777777" w:rsidR="00E933CB" w:rsidRDefault="00825B93">
      <w:pPr>
        <w:spacing w:after="70" w:line="259" w:lineRule="auto"/>
        <w:ind w:left="1030" w:right="0" w:firstLine="0"/>
        <w:jc w:val="left"/>
      </w:pPr>
      <w:r>
        <w:t xml:space="preserve"> </w:t>
      </w:r>
    </w:p>
    <w:p w14:paraId="7271F29C" w14:textId="77777777" w:rsidR="00E933CB" w:rsidRDefault="00825B93">
      <w:pPr>
        <w:spacing w:after="173" w:line="259" w:lineRule="auto"/>
        <w:ind w:left="1001" w:right="0" w:firstLine="0"/>
        <w:jc w:val="left"/>
      </w:pPr>
      <w:r>
        <w:rPr>
          <w:noProof/>
        </w:rPr>
        <mc:AlternateContent>
          <mc:Choice Requires="wpg">
            <w:drawing>
              <wp:inline distT="0" distB="0" distL="0" distR="0" wp14:anchorId="0992BB42" wp14:editId="5D269835">
                <wp:extent cx="5347081" cy="6096"/>
                <wp:effectExtent l="0" t="0" r="0" b="0"/>
                <wp:docPr id="144353" name="Group 144353"/>
                <wp:cNvGraphicFramePr/>
                <a:graphic xmlns:a="http://schemas.openxmlformats.org/drawingml/2006/main">
                  <a:graphicData uri="http://schemas.microsoft.com/office/word/2010/wordprocessingGroup">
                    <wpg:wgp>
                      <wpg:cNvGrpSpPr/>
                      <wpg:grpSpPr>
                        <a:xfrm>
                          <a:off x="0" y="0"/>
                          <a:ext cx="5347081" cy="6096"/>
                          <a:chOff x="0" y="0"/>
                          <a:chExt cx="5347081" cy="6096"/>
                        </a:xfrm>
                      </wpg:grpSpPr>
                      <wps:wsp>
                        <wps:cNvPr id="180832" name="Shape 180832"/>
                        <wps:cNvSpPr/>
                        <wps:spPr>
                          <a:xfrm>
                            <a:off x="0" y="0"/>
                            <a:ext cx="5347081" cy="9144"/>
                          </a:xfrm>
                          <a:custGeom>
                            <a:avLst/>
                            <a:gdLst/>
                            <a:ahLst/>
                            <a:cxnLst/>
                            <a:rect l="0" t="0" r="0" b="0"/>
                            <a:pathLst>
                              <a:path w="5347081" h="9144">
                                <a:moveTo>
                                  <a:pt x="0" y="0"/>
                                </a:moveTo>
                                <a:lnTo>
                                  <a:pt x="5347081" y="0"/>
                                </a:lnTo>
                                <a:lnTo>
                                  <a:pt x="5347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144353" style="width:421.03pt;height:0.47998pt;mso-position-horizontal-relative:char;mso-position-vertical-relative:line" coordsize="53470,60">
                <v:shape id="Shape 180833" style="position:absolute;width:53470;height:91;left:0;top:0;" coordsize="5347081,9144" path="m0,0l5347081,0l5347081,9144l0,9144l0,0">
                  <v:stroke on="false" weight="0pt" color="#000000" opacity="0" miterlimit="10" joinstyle="miter" endcap="flat"/>
                  <v:fill on="true" color="#000000"/>
                </v:shape>
              </v:group>
            </w:pict>
          </mc:Fallback>
        </mc:AlternateContent>
      </w:r>
    </w:p>
    <w:p w14:paraId="18752F01" w14:textId="77777777" w:rsidR="004A3CD3" w:rsidRDefault="006C0598">
      <w:pPr>
        <w:spacing w:after="0" w:line="259" w:lineRule="auto"/>
        <w:ind w:left="241" w:right="0" w:firstLine="0"/>
        <w:jc w:val="center"/>
      </w:pPr>
      <w:r>
        <w:rPr>
          <w:sz w:val="56"/>
        </w:rPr>
        <w:t xml:space="preserve">APPEAL </w:t>
      </w:r>
    </w:p>
    <w:p w14:paraId="6298F53B" w14:textId="77777777" w:rsidR="00E933CB" w:rsidRDefault="00825B93">
      <w:pPr>
        <w:spacing w:after="163" w:line="259" w:lineRule="auto"/>
        <w:ind w:left="1001" w:right="0" w:firstLine="0"/>
        <w:jc w:val="left"/>
      </w:pPr>
      <w:r>
        <w:rPr>
          <w:noProof/>
        </w:rPr>
        <mc:AlternateContent>
          <mc:Choice Requires="wpg">
            <w:drawing>
              <wp:inline distT="0" distB="0" distL="0" distR="0" wp14:anchorId="2CAA232A" wp14:editId="1613CA0B">
                <wp:extent cx="5347081" cy="6096"/>
                <wp:effectExtent l="0" t="0" r="0" b="0"/>
                <wp:docPr id="144357" name="Group 144357"/>
                <wp:cNvGraphicFramePr/>
                <a:graphic xmlns:a="http://schemas.openxmlformats.org/drawingml/2006/main">
                  <a:graphicData uri="http://schemas.microsoft.com/office/word/2010/wordprocessingGroup">
                    <wpg:wgp>
                      <wpg:cNvGrpSpPr/>
                      <wpg:grpSpPr>
                        <a:xfrm>
                          <a:off x="0" y="0"/>
                          <a:ext cx="5347081" cy="6096"/>
                          <a:chOff x="0" y="0"/>
                          <a:chExt cx="5347081" cy="6096"/>
                        </a:xfrm>
                      </wpg:grpSpPr>
                      <wps:wsp>
                        <wps:cNvPr id="180834" name="Shape 180834"/>
                        <wps:cNvSpPr/>
                        <wps:spPr>
                          <a:xfrm>
                            <a:off x="0" y="0"/>
                            <a:ext cx="5347081" cy="9144"/>
                          </a:xfrm>
                          <a:custGeom>
                            <a:avLst/>
                            <a:gdLst/>
                            <a:ahLst/>
                            <a:cxnLst/>
                            <a:rect l="0" t="0" r="0" b="0"/>
                            <a:pathLst>
                              <a:path w="5347081" h="9144">
                                <a:moveTo>
                                  <a:pt x="0" y="0"/>
                                </a:moveTo>
                                <a:lnTo>
                                  <a:pt x="5347081" y="0"/>
                                </a:lnTo>
                                <a:lnTo>
                                  <a:pt x="53470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144357" style="width:421.03pt;height:0.47998pt;mso-position-horizontal-relative:char;mso-position-vertical-relative:line" coordsize="53470,60">
                <v:shape id="Shape 180835" style="position:absolute;width:53470;height:91;left:0;top:0;" coordsize="5347081,9144" path="m0,0l5347081,0l5347081,9144l0,9144l0,0">
                  <v:stroke on="false" weight="0pt" color="#000000" opacity="0" miterlimit="10" joinstyle="miter" endcap="flat"/>
                  <v:fill on="true" color="#000000"/>
                </v:shape>
              </v:group>
            </w:pict>
          </mc:Fallback>
        </mc:AlternateContent>
      </w:r>
    </w:p>
    <w:p w14:paraId="2104B74C" w14:textId="77777777" w:rsidR="00E933CB" w:rsidRDefault="00825B93">
      <w:pPr>
        <w:spacing w:after="0" w:line="259" w:lineRule="auto"/>
        <w:ind w:left="1030" w:right="0" w:firstLine="0"/>
        <w:jc w:val="left"/>
      </w:pPr>
      <w:r>
        <w:t xml:space="preserve"> </w:t>
      </w:r>
    </w:p>
    <w:tbl>
      <w:tblPr>
        <w:tblStyle w:val="TableGrid"/>
        <w:tblW w:w="8603" w:type="dxa"/>
        <w:tblInd w:w="891" w:type="dxa"/>
        <w:tblLook w:val="04A0" w:firstRow="1" w:lastRow="0" w:firstColumn="1" w:lastColumn="0" w:noHBand="0" w:noVBand="1"/>
      </w:tblPr>
      <w:tblGrid>
        <w:gridCol w:w="1133"/>
        <w:gridCol w:w="7470"/>
      </w:tblGrid>
      <w:tr w:rsidR="00E933CB" w:rsidRPr="00831397" w14:paraId="6F38EC38" w14:textId="77777777">
        <w:trPr>
          <w:trHeight w:val="6853"/>
        </w:trPr>
        <w:tc>
          <w:tcPr>
            <w:tcW w:w="1133" w:type="dxa"/>
            <w:tcBorders>
              <w:top w:val="nil"/>
              <w:left w:val="nil"/>
              <w:bottom w:val="nil"/>
              <w:right w:val="nil"/>
            </w:tcBorders>
          </w:tcPr>
          <w:p w14:paraId="4CF89070" w14:textId="77777777" w:rsidR="004A3CD3" w:rsidRDefault="006C0598">
            <w:pPr>
              <w:spacing w:after="6255" w:line="259" w:lineRule="auto"/>
              <w:ind w:left="139" w:right="0" w:firstLine="0"/>
              <w:jc w:val="left"/>
            </w:pPr>
            <w:r>
              <w:rPr>
                <w:b/>
                <w:u w:val="single" w:color="000000"/>
              </w:rPr>
              <w:t xml:space="preserve">FOR </w:t>
            </w:r>
            <w:r>
              <w:t xml:space="preserve">: </w:t>
            </w:r>
          </w:p>
          <w:p w14:paraId="76C9EA82" w14:textId="77777777" w:rsidR="00E933CB" w:rsidRDefault="00825B93">
            <w:pPr>
              <w:spacing w:after="0" w:line="259" w:lineRule="auto"/>
              <w:ind w:left="139" w:right="0" w:firstLine="0"/>
              <w:jc w:val="left"/>
            </w:pPr>
            <w:r>
              <w:t xml:space="preserve"> </w:t>
            </w:r>
          </w:p>
        </w:tc>
        <w:tc>
          <w:tcPr>
            <w:tcW w:w="7470" w:type="dxa"/>
            <w:tcBorders>
              <w:top w:val="nil"/>
              <w:left w:val="nil"/>
              <w:bottom w:val="nil"/>
              <w:right w:val="nil"/>
            </w:tcBorders>
          </w:tcPr>
          <w:p w14:paraId="3B36648E" w14:textId="77777777" w:rsidR="004A3CD3" w:rsidRPr="00CB2C68" w:rsidRDefault="006C0598">
            <w:pPr>
              <w:numPr>
                <w:ilvl w:val="0"/>
                <w:numId w:val="54"/>
              </w:numPr>
              <w:spacing w:after="120" w:line="239" w:lineRule="auto"/>
              <w:ind w:right="0" w:firstLine="0"/>
              <w:jc w:val="left"/>
              <w:rPr>
                <w:lang w:val="en-US"/>
              </w:rPr>
            </w:pPr>
            <w:r w:rsidRPr="00CB2C68">
              <w:rPr>
                <w:b/>
                <w:lang w:val="en-US"/>
              </w:rPr>
              <w:t>Klimaatzaak ASBL</w:t>
            </w:r>
            <w:r w:rsidRPr="00CB2C68">
              <w:rPr>
                <w:lang w:val="en-US"/>
              </w:rPr>
              <w:t xml:space="preserve">, with registered office at rue Joseph II 20, 1070 Brussels, registered with the ECB under number 0567.926.684, </w:t>
            </w:r>
          </w:p>
          <w:p w14:paraId="30BC61A5" w14:textId="77777777" w:rsidR="00E933CB" w:rsidRPr="00CB2C68" w:rsidRDefault="00825B93">
            <w:pPr>
              <w:spacing w:after="92" w:line="259" w:lineRule="auto"/>
              <w:ind w:left="142" w:right="0" w:firstLine="0"/>
              <w:jc w:val="left"/>
              <w:rPr>
                <w:lang w:val="en-US"/>
              </w:rPr>
            </w:pPr>
            <w:r w:rsidRPr="00CB2C68">
              <w:rPr>
                <w:lang w:val="en-US"/>
              </w:rPr>
              <w:t xml:space="preserve"> </w:t>
            </w:r>
          </w:p>
          <w:p w14:paraId="45FACA69" w14:textId="77777777" w:rsidR="004A3CD3" w:rsidRPr="00CB2C68" w:rsidRDefault="006C0598">
            <w:pPr>
              <w:numPr>
                <w:ilvl w:val="0"/>
                <w:numId w:val="54"/>
              </w:numPr>
              <w:spacing w:after="106" w:line="259" w:lineRule="auto"/>
              <w:ind w:right="0" w:firstLine="0"/>
              <w:jc w:val="left"/>
              <w:rPr>
                <w:lang w:val="en-US"/>
              </w:rPr>
            </w:pPr>
            <w:r w:rsidRPr="00CB2C68">
              <w:rPr>
                <w:lang w:val="en-US"/>
              </w:rPr>
              <w:t xml:space="preserve">All </w:t>
            </w:r>
            <w:r w:rsidRPr="00CB2C68">
              <w:rPr>
                <w:b/>
                <w:lang w:val="en-US"/>
              </w:rPr>
              <w:t xml:space="preserve">persons </w:t>
            </w:r>
            <w:r w:rsidRPr="00CB2C68">
              <w:rPr>
                <w:lang w:val="en-US"/>
              </w:rPr>
              <w:t>who are listed in Appendix A attached to the citation</w:t>
            </w:r>
            <w:r>
              <w:rPr>
                <w:sz w:val="20"/>
                <w:vertAlign w:val="superscript"/>
              </w:rPr>
              <w:footnoteReference w:id="1"/>
            </w:r>
            <w:r w:rsidRPr="00CB2C68">
              <w:rPr>
                <w:lang w:val="en-US"/>
              </w:rPr>
              <w:t xml:space="preserve">,  </w:t>
            </w:r>
          </w:p>
          <w:p w14:paraId="41340552" w14:textId="77777777" w:rsidR="00E933CB" w:rsidRPr="00CB2C68" w:rsidRDefault="00825B93">
            <w:pPr>
              <w:spacing w:after="98" w:line="259" w:lineRule="auto"/>
              <w:ind w:left="142" w:right="0" w:firstLine="0"/>
              <w:jc w:val="left"/>
              <w:rPr>
                <w:lang w:val="en-US"/>
              </w:rPr>
            </w:pPr>
            <w:r w:rsidRPr="00CB2C68">
              <w:rPr>
                <w:lang w:val="en-US"/>
              </w:rPr>
              <w:t xml:space="preserve"> </w:t>
            </w:r>
          </w:p>
          <w:p w14:paraId="03BCF934" w14:textId="77777777" w:rsidR="004A3CD3" w:rsidRDefault="006C0598">
            <w:pPr>
              <w:spacing w:after="95" w:line="259" w:lineRule="auto"/>
              <w:ind w:left="142" w:right="0" w:firstLine="0"/>
              <w:jc w:val="left"/>
            </w:pPr>
            <w:r>
              <w:rPr>
                <w:u w:val="single" w:color="000000"/>
              </w:rPr>
              <w:t xml:space="preserve">Appellants </w:t>
            </w:r>
            <w:r>
              <w:t xml:space="preserve">; </w:t>
            </w:r>
          </w:p>
          <w:p w14:paraId="03B0EE46" w14:textId="77777777" w:rsidR="00E933CB" w:rsidRDefault="00825B93">
            <w:pPr>
              <w:spacing w:after="98" w:line="259" w:lineRule="auto"/>
              <w:ind w:left="142" w:right="0" w:firstLine="0"/>
              <w:jc w:val="left"/>
            </w:pPr>
            <w:r>
              <w:t xml:space="preserve"> </w:t>
            </w:r>
          </w:p>
          <w:p w14:paraId="35B1B79E" w14:textId="77777777" w:rsidR="004A3CD3" w:rsidRDefault="006C0598">
            <w:pPr>
              <w:spacing w:after="132" w:line="259" w:lineRule="auto"/>
              <w:ind w:left="142" w:right="0" w:firstLine="0"/>
              <w:jc w:val="left"/>
            </w:pPr>
            <w:r>
              <w:t xml:space="preserve">all with advice from </w:t>
            </w:r>
          </w:p>
          <w:p w14:paraId="7DDDE71C" w14:textId="77777777" w:rsidR="004A3CD3" w:rsidRPr="00CB2C68" w:rsidRDefault="006C0598">
            <w:pPr>
              <w:numPr>
                <w:ilvl w:val="1"/>
                <w:numId w:val="54"/>
              </w:numPr>
              <w:spacing w:after="33" w:line="259" w:lineRule="auto"/>
              <w:ind w:left="1223" w:right="99" w:hanging="361"/>
              <w:jc w:val="right"/>
              <w:rPr>
                <w:lang w:val="en-US"/>
              </w:rPr>
            </w:pPr>
            <w:r w:rsidRPr="00CB2C68">
              <w:rPr>
                <w:lang w:val="en-US"/>
              </w:rPr>
              <w:t xml:space="preserve">Maîtres Carole M. BILLIET </w:t>
            </w:r>
            <w:r w:rsidRPr="00CB2C68">
              <w:rPr>
                <w:color w:val="0000FF"/>
                <w:u w:val="single" w:color="0000FF"/>
                <w:lang w:val="en-US"/>
              </w:rPr>
              <w:t>(</w:t>
            </w:r>
            <w:r w:rsidRPr="00CB2C68">
              <w:rPr>
                <w:lang w:val="en-US"/>
              </w:rPr>
              <w:t xml:space="preserve">carole.billiet@equal-partners.eu), Luc DEPRÉ </w:t>
            </w:r>
          </w:p>
          <w:p w14:paraId="44F81EA6" w14:textId="77777777" w:rsidR="004A3CD3" w:rsidRPr="00CB2C68" w:rsidRDefault="006C0598">
            <w:pPr>
              <w:tabs>
                <w:tab w:val="center" w:pos="2341"/>
                <w:tab w:val="center" w:pos="5159"/>
                <w:tab w:val="right" w:pos="7470"/>
              </w:tabs>
              <w:spacing w:after="19" w:line="259" w:lineRule="auto"/>
              <w:ind w:left="0" w:right="0" w:firstLine="0"/>
              <w:jc w:val="left"/>
              <w:rPr>
                <w:lang w:val="en-US"/>
              </w:rPr>
            </w:pPr>
            <w:r w:rsidRPr="00CB2C68">
              <w:rPr>
                <w:lang w:val="en-US"/>
              </w:rPr>
              <w:tab/>
            </w:r>
            <w:r w:rsidRPr="00CB2C68">
              <w:rPr>
                <w:color w:val="0000FF"/>
                <w:u w:val="single" w:color="0000FF"/>
                <w:lang w:val="en-US"/>
              </w:rPr>
              <w:t>(luc.depre@equal-partners.eu)</w:t>
            </w:r>
            <w:r w:rsidRPr="00CB2C68">
              <w:rPr>
                <w:lang w:val="en-US"/>
              </w:rPr>
              <w:t xml:space="preserve">, </w:t>
            </w:r>
            <w:r w:rsidRPr="00CB2C68">
              <w:rPr>
                <w:lang w:val="en-US"/>
              </w:rPr>
              <w:tab/>
              <w:t xml:space="preserve">Audrey </w:t>
            </w:r>
            <w:r w:rsidRPr="00CB2C68">
              <w:rPr>
                <w:lang w:val="en-US"/>
              </w:rPr>
              <w:tab/>
              <w:t xml:space="preserve">BAEYENS </w:t>
            </w:r>
          </w:p>
          <w:p w14:paraId="7DBC9B58" w14:textId="77777777" w:rsidR="004A3CD3" w:rsidRPr="00831397" w:rsidRDefault="006C0598">
            <w:pPr>
              <w:spacing w:after="36" w:line="275" w:lineRule="auto"/>
              <w:ind w:left="925" w:right="98" w:firstLine="0"/>
              <w:rPr>
                <w:lang w:val="en-US"/>
              </w:rPr>
            </w:pPr>
            <w:r w:rsidRPr="00831397">
              <w:rPr>
                <w:color w:val="0000FF"/>
                <w:u w:val="single" w:color="0000FF"/>
                <w:lang w:val="en-US"/>
              </w:rPr>
              <w:t>(audrey.baeyens@equal-partners.eu)</w:t>
            </w:r>
            <w:r w:rsidRPr="00831397">
              <w:rPr>
                <w:lang w:val="en-US"/>
              </w:rPr>
              <w:t xml:space="preserve">, Linli-Sophie PAN-VAN DE MEULEBROEKE </w:t>
            </w:r>
            <w:r w:rsidRPr="00831397">
              <w:rPr>
                <w:color w:val="0000FF"/>
                <w:u w:val="single" w:color="0000FF"/>
                <w:lang w:val="en-US"/>
              </w:rPr>
              <w:t>(</w:t>
            </w:r>
            <w:r w:rsidRPr="00831397">
              <w:rPr>
                <w:lang w:val="en-US"/>
              </w:rPr>
              <w:t xml:space="preserve">Linli.PanVandeMeulebroeke@equal-partners.eu), Camille DE BUEGER </w:t>
            </w:r>
            <w:r w:rsidRPr="00831397">
              <w:rPr>
                <w:color w:val="0000FF"/>
                <w:u w:val="single" w:color="0000FF"/>
                <w:lang w:val="en-US"/>
              </w:rPr>
              <w:t>(</w:t>
            </w:r>
            <w:r w:rsidRPr="00831397">
              <w:rPr>
                <w:lang w:val="en-US"/>
              </w:rPr>
              <w:t xml:space="preserve">camille.debueger@equal-partners.eu) and Gautier ROLLAND </w:t>
            </w:r>
            <w:r w:rsidRPr="00831397">
              <w:rPr>
                <w:color w:val="0000FF"/>
                <w:u w:val="single" w:color="0000FF"/>
                <w:lang w:val="en-US"/>
              </w:rPr>
              <w:t>(</w:t>
            </w:r>
            <w:r w:rsidRPr="00831397">
              <w:rPr>
                <w:lang w:val="en-US"/>
              </w:rPr>
              <w:t xml:space="preserve">gautier.rolland@equal-partners.eu), whose offices are at Place Flagey, 18, 1050 Brussels, and </w:t>
            </w:r>
          </w:p>
          <w:p w14:paraId="47A08564" w14:textId="77777777" w:rsidR="004A3CD3" w:rsidRPr="00831397" w:rsidRDefault="006C0598">
            <w:pPr>
              <w:numPr>
                <w:ilvl w:val="1"/>
                <w:numId w:val="54"/>
              </w:numPr>
              <w:spacing w:after="19" w:line="259" w:lineRule="auto"/>
              <w:ind w:left="1223" w:right="99" w:hanging="361"/>
              <w:jc w:val="right"/>
              <w:rPr>
                <w:lang w:val="en-US"/>
              </w:rPr>
            </w:pPr>
            <w:r w:rsidRPr="00831397">
              <w:rPr>
                <w:lang w:val="en-US"/>
              </w:rPr>
              <w:t xml:space="preserve">Mr. Roger H. J. COX ( </w:t>
            </w:r>
            <w:r w:rsidRPr="00831397">
              <w:rPr>
                <w:color w:val="0000FF"/>
                <w:u w:val="single" w:color="0000FF"/>
                <w:lang w:val="en-US"/>
              </w:rPr>
              <w:t xml:space="preserve">r.cox@paulussen.nl </w:t>
            </w:r>
            <w:r w:rsidRPr="00831397">
              <w:rPr>
                <w:lang w:val="en-US"/>
              </w:rPr>
              <w:t xml:space="preserve">) , whose office is established </w:t>
            </w:r>
          </w:p>
          <w:p w14:paraId="742A2212" w14:textId="77777777" w:rsidR="004A3CD3" w:rsidRPr="00831397" w:rsidRDefault="006C0598">
            <w:pPr>
              <w:spacing w:after="136" w:line="259" w:lineRule="auto"/>
              <w:ind w:left="925" w:right="0" w:firstLine="0"/>
              <w:jc w:val="left"/>
              <w:rPr>
                <w:lang w:val="en-US"/>
              </w:rPr>
            </w:pPr>
            <w:r w:rsidRPr="00831397">
              <w:rPr>
                <w:lang w:val="en-US"/>
              </w:rPr>
              <w:t xml:space="preserve">Sint-Pieterskade 26B, 6212 AD Maastricht, The Netherlands, </w:t>
            </w:r>
          </w:p>
          <w:p w14:paraId="0F69F717" w14:textId="77777777" w:rsidR="004A3CD3" w:rsidRPr="00831397" w:rsidRDefault="006C0598">
            <w:pPr>
              <w:spacing w:after="0" w:line="259" w:lineRule="auto"/>
              <w:ind w:left="142" w:right="0" w:firstLine="0"/>
              <w:rPr>
                <w:lang w:val="en-US"/>
              </w:rPr>
            </w:pPr>
            <w:r w:rsidRPr="00831397">
              <w:rPr>
                <w:lang w:val="en-US"/>
              </w:rPr>
              <w:t xml:space="preserve">electing all domicile in this cause at the office of Equal Partners, in 1050 Brussels, Place Flagey, 18. </w:t>
            </w:r>
          </w:p>
        </w:tc>
      </w:tr>
      <w:tr w:rsidR="00E933CB" w:rsidRPr="00831397" w14:paraId="32D46666" w14:textId="77777777">
        <w:trPr>
          <w:trHeight w:val="1195"/>
        </w:trPr>
        <w:tc>
          <w:tcPr>
            <w:tcW w:w="1133" w:type="dxa"/>
            <w:tcBorders>
              <w:top w:val="nil"/>
              <w:left w:val="nil"/>
              <w:bottom w:val="nil"/>
              <w:right w:val="nil"/>
            </w:tcBorders>
          </w:tcPr>
          <w:p w14:paraId="75CB0964" w14:textId="77777777" w:rsidR="004A3CD3" w:rsidRDefault="006C0598">
            <w:pPr>
              <w:spacing w:after="0" w:line="259" w:lineRule="auto"/>
              <w:ind w:left="0" w:right="0" w:firstLine="0"/>
              <w:jc w:val="left"/>
            </w:pPr>
            <w:r>
              <w:rPr>
                <w:b/>
                <w:u w:val="single" w:color="000000"/>
              </w:rPr>
              <w:t>AGAINST</w:t>
            </w:r>
            <w:r>
              <w:t xml:space="preserve">:  </w:t>
            </w:r>
          </w:p>
        </w:tc>
        <w:tc>
          <w:tcPr>
            <w:tcW w:w="7470" w:type="dxa"/>
            <w:tcBorders>
              <w:top w:val="nil"/>
              <w:left w:val="nil"/>
              <w:bottom w:val="nil"/>
              <w:right w:val="nil"/>
            </w:tcBorders>
          </w:tcPr>
          <w:p w14:paraId="093434A5" w14:textId="77777777" w:rsidR="004A3CD3" w:rsidRPr="00831397" w:rsidRDefault="006C0598">
            <w:pPr>
              <w:spacing w:after="0" w:line="259" w:lineRule="auto"/>
              <w:ind w:left="0" w:right="97" w:firstLine="0"/>
              <w:rPr>
                <w:lang w:val="en-US"/>
              </w:rPr>
            </w:pPr>
            <w:r w:rsidRPr="00831397">
              <w:rPr>
                <w:lang w:val="en-US"/>
              </w:rPr>
              <w:t xml:space="preserve">1. </w:t>
            </w:r>
            <w:r w:rsidRPr="00831397">
              <w:rPr>
                <w:b/>
                <w:lang w:val="en-US"/>
              </w:rPr>
              <w:t>The Belgian State</w:t>
            </w:r>
            <w:r w:rsidRPr="00831397">
              <w:rPr>
                <w:lang w:val="en-US"/>
              </w:rPr>
              <w:t xml:space="preserve">, represented by its Government in the person of the Minister for Climate, Environment, Sustainable Development and the </w:t>
            </w:r>
            <w:r w:rsidRPr="00831397">
              <w:rPr>
                <w:i/>
                <w:lang w:val="en-US"/>
              </w:rPr>
              <w:t>Green Deal</w:t>
            </w:r>
            <w:r w:rsidRPr="00831397">
              <w:rPr>
                <w:lang w:val="en-US"/>
              </w:rPr>
              <w:t xml:space="preserve">, whose offices are located at 1000 Brussels, Boulevard du Jardin Botanique, 50 (FINTO), bte 51, </w:t>
            </w:r>
          </w:p>
        </w:tc>
      </w:tr>
      <w:tr w:rsidR="00E933CB" w14:paraId="6E972376" w14:textId="77777777">
        <w:trPr>
          <w:trHeight w:val="389"/>
        </w:trPr>
        <w:tc>
          <w:tcPr>
            <w:tcW w:w="1133" w:type="dxa"/>
            <w:tcBorders>
              <w:top w:val="nil"/>
              <w:left w:val="nil"/>
              <w:bottom w:val="nil"/>
              <w:right w:val="nil"/>
            </w:tcBorders>
          </w:tcPr>
          <w:p w14:paraId="19692356" w14:textId="77777777" w:rsidR="00E933CB" w:rsidRPr="00831397" w:rsidRDefault="00825B93">
            <w:pPr>
              <w:spacing w:after="0" w:line="259" w:lineRule="auto"/>
              <w:ind w:left="0" w:right="0" w:firstLine="0"/>
              <w:jc w:val="left"/>
              <w:rPr>
                <w:lang w:val="en-US"/>
              </w:rPr>
            </w:pPr>
            <w:r w:rsidRPr="00831397">
              <w:rPr>
                <w:lang w:val="en-US"/>
              </w:rPr>
              <w:t xml:space="preserve"> </w:t>
            </w:r>
          </w:p>
        </w:tc>
        <w:tc>
          <w:tcPr>
            <w:tcW w:w="7470" w:type="dxa"/>
            <w:tcBorders>
              <w:top w:val="nil"/>
              <w:left w:val="nil"/>
              <w:bottom w:val="nil"/>
              <w:right w:val="nil"/>
            </w:tcBorders>
          </w:tcPr>
          <w:p w14:paraId="717D4A45" w14:textId="77777777" w:rsidR="004A3CD3" w:rsidRDefault="006C0598">
            <w:pPr>
              <w:spacing w:after="0" w:line="259" w:lineRule="auto"/>
              <w:ind w:left="0" w:right="0" w:firstLine="0"/>
              <w:jc w:val="left"/>
            </w:pPr>
            <w:r>
              <w:rPr>
                <w:u w:val="single" w:color="000000"/>
              </w:rPr>
              <w:t xml:space="preserve">First Respondent </w:t>
            </w:r>
            <w:r>
              <w:t xml:space="preserve">; </w:t>
            </w:r>
          </w:p>
        </w:tc>
      </w:tr>
      <w:tr w:rsidR="00E933CB" w14:paraId="5401F6D0" w14:textId="77777777">
        <w:trPr>
          <w:trHeight w:val="307"/>
        </w:trPr>
        <w:tc>
          <w:tcPr>
            <w:tcW w:w="1133" w:type="dxa"/>
            <w:tcBorders>
              <w:top w:val="nil"/>
              <w:left w:val="nil"/>
              <w:bottom w:val="nil"/>
              <w:right w:val="nil"/>
            </w:tcBorders>
          </w:tcPr>
          <w:p w14:paraId="3738635F" w14:textId="77777777" w:rsidR="00E933CB" w:rsidRDefault="00825B93">
            <w:pPr>
              <w:spacing w:after="0" w:line="259" w:lineRule="auto"/>
              <w:ind w:left="0" w:right="0" w:firstLine="0"/>
              <w:jc w:val="left"/>
            </w:pPr>
            <w:r>
              <w:t xml:space="preserve"> </w:t>
            </w:r>
          </w:p>
        </w:tc>
        <w:tc>
          <w:tcPr>
            <w:tcW w:w="7470" w:type="dxa"/>
            <w:tcBorders>
              <w:top w:val="nil"/>
              <w:left w:val="nil"/>
              <w:bottom w:val="nil"/>
              <w:right w:val="nil"/>
            </w:tcBorders>
          </w:tcPr>
          <w:p w14:paraId="094916F2" w14:textId="77777777" w:rsidR="004A3CD3" w:rsidRDefault="006C0598">
            <w:pPr>
              <w:spacing w:after="0" w:line="259" w:lineRule="auto"/>
              <w:ind w:left="0" w:right="0" w:firstLine="0"/>
              <w:jc w:val="left"/>
            </w:pPr>
            <w:r>
              <w:t xml:space="preserve">with the advice of  </w:t>
            </w:r>
          </w:p>
        </w:tc>
      </w:tr>
    </w:tbl>
    <w:p w14:paraId="6A666C8A" w14:textId="77777777" w:rsidR="004A3CD3" w:rsidRPr="00831397" w:rsidRDefault="006C0598">
      <w:pPr>
        <w:numPr>
          <w:ilvl w:val="0"/>
          <w:numId w:val="1"/>
        </w:numPr>
        <w:spacing w:after="60"/>
        <w:ind w:left="2949" w:right="794" w:hanging="361"/>
        <w:rPr>
          <w:lang w:val="en-US"/>
        </w:rPr>
      </w:pPr>
      <w:r w:rsidRPr="00831397">
        <w:rPr>
          <w:lang w:val="en-US"/>
        </w:rPr>
        <w:lastRenderedPageBreak/>
        <w:t xml:space="preserve">Nathalie VAN DAMME, lawyer, whose office is located at 4020 LIEGE 2, Place des Nations Unies 7 a ; </w:t>
      </w:r>
    </w:p>
    <w:p w14:paraId="765EE84F" w14:textId="77777777" w:rsidR="004A3CD3" w:rsidRPr="00831397" w:rsidRDefault="006C0598">
      <w:pPr>
        <w:numPr>
          <w:ilvl w:val="0"/>
          <w:numId w:val="1"/>
        </w:numPr>
        <w:spacing w:after="147"/>
        <w:ind w:left="2949" w:right="794" w:hanging="361"/>
        <w:rPr>
          <w:lang w:val="en-US"/>
        </w:rPr>
      </w:pPr>
      <w:r w:rsidRPr="00831397">
        <w:rPr>
          <w:lang w:val="en-US"/>
        </w:rPr>
        <w:t xml:space="preserve">Maîtres Guy BLOCK and Kris WAUTERS, lawyers, whose office is located at 1050 Chaussée de La Hulpe 187 ; </w:t>
      </w:r>
    </w:p>
    <w:p w14:paraId="32031A68" w14:textId="77777777" w:rsidR="00E933CB" w:rsidRPr="00831397" w:rsidRDefault="00825B93">
      <w:pPr>
        <w:spacing w:after="98" w:line="259" w:lineRule="auto"/>
        <w:ind w:left="2024" w:right="0" w:firstLine="0"/>
        <w:jc w:val="left"/>
        <w:rPr>
          <w:lang w:val="en-US"/>
        </w:rPr>
      </w:pPr>
      <w:r w:rsidRPr="00831397">
        <w:rPr>
          <w:lang w:val="en-US"/>
        </w:rPr>
        <w:t xml:space="preserve"> </w:t>
      </w:r>
    </w:p>
    <w:p w14:paraId="3C18DD6D" w14:textId="77777777" w:rsidR="004A3CD3" w:rsidRPr="00831397" w:rsidRDefault="006C0598">
      <w:pPr>
        <w:numPr>
          <w:ilvl w:val="0"/>
          <w:numId w:val="2"/>
        </w:numPr>
        <w:spacing w:line="248" w:lineRule="auto"/>
        <w:ind w:right="794"/>
        <w:rPr>
          <w:lang w:val="en-US"/>
        </w:rPr>
      </w:pPr>
      <w:r w:rsidRPr="00831397">
        <w:rPr>
          <w:b/>
          <w:lang w:val="en-US"/>
        </w:rPr>
        <w:t xml:space="preserve">The Walloon Region, </w:t>
      </w:r>
      <w:r w:rsidRPr="00831397">
        <w:rPr>
          <w:lang w:val="en-US"/>
        </w:rPr>
        <w:t xml:space="preserve">represented by its Government in the person of the Minister for Climate, Energy and Mobility, whose offices are established at 5000 Namur, rue d'Harscamp 22, </w:t>
      </w:r>
      <w:r w:rsidRPr="00831397">
        <w:rPr>
          <w:u w:val="single" w:color="000000"/>
          <w:lang w:val="en-US"/>
        </w:rPr>
        <w:t xml:space="preserve">Second Respondent </w:t>
      </w:r>
      <w:r w:rsidRPr="00831397">
        <w:rPr>
          <w:lang w:val="en-US"/>
        </w:rPr>
        <w:t xml:space="preserve">; </w:t>
      </w:r>
    </w:p>
    <w:p w14:paraId="20F369AE" w14:textId="77777777" w:rsidR="004A3CD3" w:rsidRPr="00831397" w:rsidRDefault="006C0598">
      <w:pPr>
        <w:ind w:left="2024" w:right="794"/>
        <w:rPr>
          <w:lang w:val="en-US"/>
        </w:rPr>
      </w:pPr>
      <w:r w:rsidRPr="00831397">
        <w:rPr>
          <w:lang w:val="en-US"/>
        </w:rPr>
        <w:t xml:space="preserve">represented by Pierre MOËRYNCK, lawyer, 1040 Brussels, avenue de Tervueren, 34/27; </w:t>
      </w:r>
    </w:p>
    <w:p w14:paraId="3529EBD6" w14:textId="77777777" w:rsidR="00E933CB" w:rsidRPr="00831397" w:rsidRDefault="00825B93">
      <w:pPr>
        <w:spacing w:after="98" w:line="259" w:lineRule="auto"/>
        <w:ind w:left="464" w:right="0" w:firstLine="0"/>
        <w:jc w:val="left"/>
        <w:rPr>
          <w:lang w:val="en-US"/>
        </w:rPr>
      </w:pPr>
      <w:r w:rsidRPr="00831397">
        <w:rPr>
          <w:lang w:val="en-US"/>
        </w:rPr>
        <w:t xml:space="preserve"> </w:t>
      </w:r>
    </w:p>
    <w:p w14:paraId="2449505A" w14:textId="77777777" w:rsidR="004A3CD3" w:rsidRPr="00831397" w:rsidRDefault="006C0598">
      <w:pPr>
        <w:numPr>
          <w:ilvl w:val="0"/>
          <w:numId w:val="2"/>
        </w:numPr>
        <w:ind w:right="794"/>
        <w:rPr>
          <w:lang w:val="en-US"/>
        </w:rPr>
      </w:pPr>
      <w:r w:rsidRPr="00831397">
        <w:rPr>
          <w:b/>
          <w:lang w:val="en-US"/>
        </w:rPr>
        <w:t>The Flemish Region</w:t>
      </w:r>
      <w:r w:rsidRPr="00831397">
        <w:rPr>
          <w:lang w:val="en-US"/>
        </w:rPr>
        <w:t xml:space="preserve">, represented by the Flemish Government in the person of the Flemish Minister for Justice and Maintenance, the Environment, Energy and Tourism, whose offices are established at Boulevard du Roi Albert II, 7, 1210 Brussels, </w:t>
      </w:r>
      <w:r w:rsidRPr="00831397">
        <w:rPr>
          <w:u w:val="single" w:color="000000"/>
          <w:lang w:val="en-US"/>
        </w:rPr>
        <w:t>Third respondent</w:t>
      </w:r>
      <w:r w:rsidRPr="00831397">
        <w:rPr>
          <w:lang w:val="en-US"/>
        </w:rPr>
        <w:t xml:space="preserve">;  </w:t>
      </w:r>
    </w:p>
    <w:p w14:paraId="2B9C5DD8" w14:textId="77777777" w:rsidR="004A3CD3" w:rsidRPr="00831397" w:rsidRDefault="006C0598">
      <w:pPr>
        <w:ind w:left="2024" w:right="794"/>
        <w:rPr>
          <w:lang w:val="en-US"/>
        </w:rPr>
      </w:pPr>
      <w:r w:rsidRPr="00831397">
        <w:rPr>
          <w:lang w:val="en-US"/>
        </w:rPr>
        <w:t xml:space="preserve">represented by Mr Steve RONSE, lawyer, whose office is located at 8500 Kortrijk, Beneluxpark, 27B;  </w:t>
      </w:r>
    </w:p>
    <w:p w14:paraId="28C8F672" w14:textId="77777777" w:rsidR="00E933CB" w:rsidRPr="00831397" w:rsidRDefault="00825B93">
      <w:pPr>
        <w:spacing w:after="98" w:line="259" w:lineRule="auto"/>
        <w:ind w:left="2732" w:right="0" w:firstLine="0"/>
        <w:jc w:val="left"/>
        <w:rPr>
          <w:lang w:val="en-US"/>
        </w:rPr>
      </w:pPr>
      <w:r w:rsidRPr="00831397">
        <w:rPr>
          <w:lang w:val="en-US"/>
        </w:rPr>
        <w:t xml:space="preserve"> </w:t>
      </w:r>
      <w:r w:rsidRPr="00831397">
        <w:rPr>
          <w:lang w:val="en-US"/>
        </w:rPr>
        <w:tab/>
        <w:t xml:space="preserve"> </w:t>
      </w:r>
    </w:p>
    <w:p w14:paraId="40A33820" w14:textId="77777777" w:rsidR="004A3CD3" w:rsidRPr="00831397" w:rsidRDefault="006C0598">
      <w:pPr>
        <w:numPr>
          <w:ilvl w:val="0"/>
          <w:numId w:val="2"/>
        </w:numPr>
        <w:ind w:right="794"/>
        <w:rPr>
          <w:lang w:val="en-US"/>
        </w:rPr>
      </w:pPr>
      <w:r w:rsidRPr="00831397">
        <w:rPr>
          <w:b/>
          <w:lang w:val="en-US"/>
        </w:rPr>
        <w:t>The Brussels-Capital Region</w:t>
      </w:r>
      <w:r w:rsidRPr="00831397">
        <w:rPr>
          <w:lang w:val="en-US"/>
        </w:rPr>
        <w:t xml:space="preserve">, represented by its Government in the person of the Minister of the Government of the Brussels-Capital Region, responsible for Climate Transition, the Environment, Energy and Participatory Democracy, whose office is established in 1210 Brussels, Boulevard Saint-Lazare 10, </w:t>
      </w:r>
      <w:r w:rsidRPr="00831397">
        <w:rPr>
          <w:u w:val="single" w:color="000000"/>
          <w:lang w:val="en-US"/>
        </w:rPr>
        <w:t xml:space="preserve">Fourth party respondent </w:t>
      </w:r>
      <w:r w:rsidRPr="00831397">
        <w:rPr>
          <w:lang w:val="en-US"/>
        </w:rPr>
        <w:t xml:space="preserve">; </w:t>
      </w:r>
    </w:p>
    <w:p w14:paraId="50ACECC1" w14:textId="77777777" w:rsidR="004A3CD3" w:rsidRPr="00831397" w:rsidRDefault="006C0598">
      <w:pPr>
        <w:ind w:left="2024" w:right="794"/>
        <w:rPr>
          <w:lang w:val="en-US"/>
        </w:rPr>
      </w:pPr>
      <w:r w:rsidRPr="00831397">
        <w:rPr>
          <w:lang w:val="en-US"/>
        </w:rPr>
        <w:t xml:space="preserve">represented by Ivan-Serge BROUHNS and Guillaume POSSOZ, lawyers, established in 1170 Brussels, chaussée de la Hulpe, 185. </w:t>
      </w:r>
    </w:p>
    <w:p w14:paraId="15038CBF" w14:textId="77777777" w:rsidR="00E933CB" w:rsidRPr="00831397" w:rsidRDefault="00825B93">
      <w:pPr>
        <w:spacing w:after="0" w:line="259" w:lineRule="auto"/>
        <w:ind w:left="464" w:right="0" w:firstLine="0"/>
        <w:jc w:val="left"/>
        <w:rPr>
          <w:lang w:val="en-US"/>
        </w:rPr>
      </w:pPr>
      <w:r w:rsidRPr="00831397">
        <w:rPr>
          <w:lang w:val="en-US"/>
        </w:rPr>
        <w:t xml:space="preserve"> </w:t>
      </w:r>
      <w:r w:rsidRPr="00831397">
        <w:rPr>
          <w:lang w:val="en-US"/>
        </w:rPr>
        <w:tab/>
        <w:t xml:space="preserve"> </w:t>
      </w:r>
    </w:p>
    <w:p w14:paraId="443B2CB1" w14:textId="77777777" w:rsidR="004A3CD3" w:rsidRPr="00831397" w:rsidRDefault="006C0598">
      <w:pPr>
        <w:spacing w:after="109" w:line="249" w:lineRule="auto"/>
        <w:ind w:left="1025" w:right="788" w:hanging="10"/>
        <w:rPr>
          <w:lang w:val="en-US"/>
        </w:rPr>
      </w:pPr>
      <w:r w:rsidRPr="00831397">
        <w:rPr>
          <w:b/>
          <w:lang w:val="en-US"/>
        </w:rPr>
        <w:t xml:space="preserve">Judgement undertaken </w:t>
      </w:r>
    </w:p>
    <w:p w14:paraId="2D2E49B5" w14:textId="77777777" w:rsidR="004A3CD3" w:rsidRPr="00831397" w:rsidRDefault="006C0598">
      <w:pPr>
        <w:ind w:left="1015" w:right="794"/>
        <w:rPr>
          <w:lang w:val="en-US"/>
        </w:rPr>
      </w:pPr>
      <w:r w:rsidRPr="00831397">
        <w:rPr>
          <w:lang w:val="en-US"/>
        </w:rPr>
        <w:t>The judgment of 17 June 2021 (R.G. 2015/4585/A) by the Fourth</w:t>
      </w:r>
      <w:r w:rsidRPr="00831397">
        <w:rPr>
          <w:vertAlign w:val="superscript"/>
          <w:lang w:val="en-US"/>
        </w:rPr>
        <w:t>e</w:t>
      </w:r>
      <w:r w:rsidRPr="00831397">
        <w:rPr>
          <w:lang w:val="en-US"/>
        </w:rPr>
        <w:t xml:space="preserve"> Chamber of the French-speaking Court of First Instance of Brussels, Civil Section (hereinafter "the judgment of 17 June 2021" or "the judgment under appeal"). </w:t>
      </w:r>
    </w:p>
    <w:p w14:paraId="63CE8290" w14:textId="77777777" w:rsidR="00E933CB" w:rsidRPr="00831397" w:rsidRDefault="00825B93">
      <w:pPr>
        <w:spacing w:after="98" w:line="259" w:lineRule="auto"/>
        <w:ind w:left="1030" w:right="0" w:firstLine="0"/>
        <w:jc w:val="left"/>
        <w:rPr>
          <w:lang w:val="en-US"/>
        </w:rPr>
      </w:pPr>
      <w:r w:rsidRPr="00831397">
        <w:rPr>
          <w:lang w:val="en-US"/>
        </w:rPr>
        <w:t xml:space="preserve"> </w:t>
      </w:r>
    </w:p>
    <w:p w14:paraId="0473B80A" w14:textId="77777777" w:rsidR="004A3CD3" w:rsidRPr="00831397" w:rsidRDefault="006C0598">
      <w:pPr>
        <w:spacing w:after="98" w:line="259" w:lineRule="auto"/>
        <w:ind w:left="1030" w:right="0" w:firstLine="0"/>
        <w:jc w:val="left"/>
        <w:rPr>
          <w:lang w:val="en-US"/>
        </w:rPr>
      </w:pPr>
      <w:r w:rsidRPr="00831397">
        <w:rPr>
          <w:b/>
          <w:lang w:val="en-US"/>
        </w:rPr>
        <w:t xml:space="preserve">Court of Appeal </w:t>
      </w:r>
    </w:p>
    <w:p w14:paraId="6668166C" w14:textId="77777777" w:rsidR="004A3CD3" w:rsidRPr="00831397" w:rsidRDefault="006C0598">
      <w:pPr>
        <w:spacing w:line="248" w:lineRule="auto"/>
        <w:ind w:left="1040" w:right="791" w:hanging="10"/>
        <w:rPr>
          <w:lang w:val="en-US"/>
        </w:rPr>
      </w:pPr>
      <w:r w:rsidRPr="00831397">
        <w:rPr>
          <w:lang w:val="en-US"/>
        </w:rPr>
        <w:t xml:space="preserve">The [_______] Chamber of the Court of Appeal of Brussels </w:t>
      </w:r>
    </w:p>
    <w:p w14:paraId="42310F51" w14:textId="77777777" w:rsidR="00E933CB" w:rsidRPr="00831397" w:rsidRDefault="00825B93">
      <w:pPr>
        <w:spacing w:after="98" w:line="259" w:lineRule="auto"/>
        <w:ind w:left="1030" w:right="0" w:firstLine="0"/>
        <w:jc w:val="left"/>
        <w:rPr>
          <w:lang w:val="en-US"/>
        </w:rPr>
      </w:pPr>
      <w:r w:rsidRPr="00831397">
        <w:rPr>
          <w:lang w:val="en-US"/>
        </w:rPr>
        <w:t xml:space="preserve"> </w:t>
      </w:r>
    </w:p>
    <w:p w14:paraId="6F256759" w14:textId="77777777" w:rsidR="004A3CD3" w:rsidRPr="00831397" w:rsidRDefault="006C0598">
      <w:pPr>
        <w:spacing w:after="109" w:line="249" w:lineRule="auto"/>
        <w:ind w:left="1025" w:right="788" w:hanging="10"/>
        <w:rPr>
          <w:lang w:val="en-US"/>
        </w:rPr>
      </w:pPr>
      <w:r w:rsidRPr="00831397">
        <w:rPr>
          <w:b/>
          <w:lang w:val="en-US"/>
        </w:rPr>
        <w:t xml:space="preserve">Place of appearance </w:t>
      </w:r>
    </w:p>
    <w:p w14:paraId="08FAA1C5" w14:textId="77777777" w:rsidR="004A3CD3" w:rsidRPr="00831397" w:rsidRDefault="006C0598">
      <w:pPr>
        <w:ind w:left="1015" w:right="794"/>
        <w:rPr>
          <w:lang w:val="en-US"/>
        </w:rPr>
      </w:pPr>
      <w:r w:rsidRPr="00831397">
        <w:rPr>
          <w:lang w:val="en-US"/>
        </w:rPr>
        <w:t xml:space="preserve">At the said Brussels Court of Appeal, 1000 Brussels, Place Poelaert 1, sitting in its usual place of business [__________________]. </w:t>
      </w:r>
    </w:p>
    <w:p w14:paraId="121CAD5B" w14:textId="77777777" w:rsidR="00E933CB" w:rsidRPr="00831397" w:rsidRDefault="00825B93">
      <w:pPr>
        <w:spacing w:after="98" w:line="259" w:lineRule="auto"/>
        <w:ind w:left="1030" w:right="0" w:firstLine="0"/>
        <w:jc w:val="left"/>
        <w:rPr>
          <w:lang w:val="en-US"/>
        </w:rPr>
      </w:pPr>
      <w:r w:rsidRPr="00831397">
        <w:rPr>
          <w:lang w:val="en-US"/>
        </w:rPr>
        <w:t xml:space="preserve"> </w:t>
      </w:r>
    </w:p>
    <w:p w14:paraId="713324AB" w14:textId="77777777" w:rsidR="004A3CD3" w:rsidRPr="00831397" w:rsidRDefault="006C0598">
      <w:pPr>
        <w:spacing w:after="109" w:line="249" w:lineRule="auto"/>
        <w:ind w:left="1025" w:right="788" w:hanging="10"/>
        <w:rPr>
          <w:lang w:val="en-US"/>
        </w:rPr>
      </w:pPr>
      <w:r w:rsidRPr="00831397">
        <w:rPr>
          <w:b/>
          <w:lang w:val="en-US"/>
        </w:rPr>
        <w:t xml:space="preserve">Date of appearance </w:t>
      </w:r>
    </w:p>
    <w:p w14:paraId="52129F31" w14:textId="77777777" w:rsidR="004A3CD3" w:rsidRPr="00831397" w:rsidRDefault="006C0598">
      <w:pPr>
        <w:ind w:left="1015" w:right="794"/>
        <w:rPr>
          <w:lang w:val="en-US"/>
        </w:rPr>
      </w:pPr>
      <w:r w:rsidRPr="00831397">
        <w:rPr>
          <w:lang w:val="en-US"/>
        </w:rPr>
        <w:t xml:space="preserve">On [______________________] at [___________] hours </w:t>
      </w:r>
    </w:p>
    <w:p w14:paraId="2F720A5F" w14:textId="77777777" w:rsidR="00E933CB" w:rsidRPr="00831397" w:rsidRDefault="00825B93">
      <w:pPr>
        <w:spacing w:after="98" w:line="259" w:lineRule="auto"/>
        <w:ind w:left="1030" w:right="0" w:firstLine="0"/>
        <w:jc w:val="left"/>
        <w:rPr>
          <w:lang w:val="en-US"/>
        </w:rPr>
      </w:pPr>
      <w:r w:rsidRPr="00831397">
        <w:rPr>
          <w:lang w:val="en-US"/>
        </w:rPr>
        <w:t xml:space="preserve"> </w:t>
      </w:r>
    </w:p>
    <w:p w14:paraId="4504A3BF" w14:textId="77777777" w:rsidR="004A3CD3" w:rsidRPr="00831397" w:rsidRDefault="006C0598">
      <w:pPr>
        <w:spacing w:after="109" w:line="249" w:lineRule="auto"/>
        <w:ind w:left="1025" w:right="788" w:hanging="10"/>
        <w:rPr>
          <w:lang w:val="en-US"/>
        </w:rPr>
      </w:pPr>
      <w:r w:rsidRPr="00831397">
        <w:rPr>
          <w:b/>
          <w:lang w:val="en-US"/>
        </w:rPr>
        <w:t xml:space="preserve">General roll number  </w:t>
      </w:r>
    </w:p>
    <w:p w14:paraId="5E0AA9EE" w14:textId="77777777" w:rsidR="004A3CD3" w:rsidRPr="00831397" w:rsidRDefault="006C0598">
      <w:pPr>
        <w:ind w:left="1015" w:right="794"/>
        <w:rPr>
          <w:lang w:val="en-US"/>
        </w:rPr>
      </w:pPr>
      <w:r w:rsidRPr="00831397">
        <w:rPr>
          <w:lang w:val="en-US"/>
        </w:rPr>
        <w:lastRenderedPageBreak/>
        <w:t xml:space="preserve">R.G. [________________________] </w:t>
      </w:r>
    </w:p>
    <w:p w14:paraId="5A25FD9B" w14:textId="77777777" w:rsidR="00E933CB" w:rsidRPr="00831397" w:rsidRDefault="00825B93">
      <w:pPr>
        <w:spacing w:after="15" w:line="346" w:lineRule="auto"/>
        <w:ind w:left="1030" w:right="8123" w:firstLine="0"/>
        <w:jc w:val="left"/>
        <w:rPr>
          <w:lang w:val="en-US"/>
        </w:rPr>
      </w:pPr>
      <w:r w:rsidRPr="00831397">
        <w:rPr>
          <w:lang w:val="en-US"/>
        </w:rPr>
        <w:t xml:space="preserve">  </w:t>
      </w:r>
    </w:p>
    <w:p w14:paraId="7E7EFD98" w14:textId="77777777" w:rsidR="00E933CB" w:rsidRPr="00831397" w:rsidRDefault="00825B93">
      <w:pPr>
        <w:spacing w:after="0" w:line="259" w:lineRule="auto"/>
        <w:ind w:left="464" w:right="0" w:firstLine="0"/>
        <w:jc w:val="left"/>
        <w:rPr>
          <w:lang w:val="en-US"/>
        </w:rPr>
      </w:pPr>
      <w:r w:rsidRPr="00831397">
        <w:rPr>
          <w:lang w:val="en-US"/>
        </w:rPr>
        <w:t xml:space="preserve"> </w:t>
      </w:r>
      <w:r w:rsidRPr="00831397">
        <w:rPr>
          <w:lang w:val="en-US"/>
        </w:rPr>
        <w:tab/>
        <w:t xml:space="preserve"> </w:t>
      </w:r>
    </w:p>
    <w:p w14:paraId="68D3ABB3" w14:textId="77777777" w:rsidR="004A3CD3" w:rsidRDefault="006C0598">
      <w:pPr>
        <w:spacing w:after="40" w:line="259" w:lineRule="auto"/>
        <w:ind w:left="464" w:right="0" w:firstLine="0"/>
        <w:jc w:val="left"/>
      </w:pPr>
      <w:r>
        <w:rPr>
          <w:sz w:val="32"/>
        </w:rPr>
        <w:t xml:space="preserve">Table of Contents </w:t>
      </w:r>
    </w:p>
    <w:p w14:paraId="1B6ED90E" w14:textId="77777777" w:rsidR="004A3CD3" w:rsidRDefault="006C0598">
      <w:pPr>
        <w:numPr>
          <w:ilvl w:val="0"/>
          <w:numId w:val="3"/>
        </w:numPr>
        <w:ind w:left="1315" w:right="794" w:hanging="710"/>
      </w:pPr>
      <w:r>
        <w:t xml:space="preserve">As a preliminary matter .................................................................................................................5 </w:t>
      </w:r>
    </w:p>
    <w:p w14:paraId="0689BE90" w14:textId="77777777" w:rsidR="004A3CD3" w:rsidRPr="00831397" w:rsidRDefault="006C0598">
      <w:pPr>
        <w:numPr>
          <w:ilvl w:val="0"/>
          <w:numId w:val="3"/>
        </w:numPr>
        <w:ind w:left="1315" w:right="794" w:hanging="710"/>
        <w:rPr>
          <w:lang w:val="en-US"/>
        </w:rPr>
      </w:pPr>
      <w:r w:rsidRPr="00831397">
        <w:rPr>
          <w:lang w:val="en-US"/>
        </w:rPr>
        <w:t xml:space="preserve">Statement of Basic Facts: Part I .............................................................................8 </w:t>
      </w:r>
    </w:p>
    <w:p w14:paraId="6D6050EF" w14:textId="77777777" w:rsidR="004A3CD3" w:rsidRPr="00831397" w:rsidRDefault="006C0598">
      <w:pPr>
        <w:ind w:left="605" w:right="794"/>
        <w:rPr>
          <w:lang w:val="en-US"/>
        </w:rPr>
      </w:pPr>
      <w:r w:rsidRPr="00831397">
        <w:rPr>
          <w:lang w:val="en-US"/>
        </w:rPr>
        <w:t xml:space="preserve">Global warming: the inadequacy and insufficiency of the binding obligations imposed on Belgium by 2020 .........................................................................................................8 </w:t>
      </w:r>
    </w:p>
    <w:p w14:paraId="230DCAA0" w14:textId="77777777" w:rsidR="004A3CD3" w:rsidRPr="00831397" w:rsidRDefault="006C0598">
      <w:pPr>
        <w:ind w:left="684" w:right="70"/>
        <w:rPr>
          <w:lang w:val="en-US"/>
        </w:rPr>
      </w:pPr>
      <w:r>
        <w:rPr>
          <w:noProof/>
        </w:rPr>
        <w:drawing>
          <wp:inline distT="0" distB="0" distL="0" distR="0" wp14:anchorId="103ABBED" wp14:editId="384821DB">
            <wp:extent cx="163830" cy="96774"/>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8"/>
                    <a:stretch>
                      <a:fillRect/>
                    </a:stretch>
                  </pic:blipFill>
                  <pic:spPr>
                    <a:xfrm>
                      <a:off x="0" y="0"/>
                      <a:ext cx="163830" cy="96774"/>
                    </a:xfrm>
                    <a:prstGeom prst="rect">
                      <a:avLst/>
                    </a:prstGeom>
                  </pic:spPr>
                </pic:pic>
              </a:graphicData>
            </a:graphic>
          </wp:inline>
        </w:drawing>
      </w:r>
      <w:r w:rsidRPr="00831397">
        <w:rPr>
          <w:lang w:val="en-US"/>
        </w:rPr>
        <w:t xml:space="preserve"> The common thread: knowledge of the danger and the measures to be taken to prevent or limit it 8 </w:t>
      </w:r>
    </w:p>
    <w:p w14:paraId="632321E2" w14:textId="77777777" w:rsidR="004A3CD3" w:rsidRPr="00831397" w:rsidRDefault="006C0598">
      <w:pPr>
        <w:tabs>
          <w:tab w:val="center" w:pos="1126"/>
          <w:tab w:val="center" w:pos="5587"/>
        </w:tabs>
        <w:spacing w:after="11"/>
        <w:ind w:left="0" w:right="0" w:firstLine="0"/>
        <w:jc w:val="left"/>
        <w:rPr>
          <w:lang w:val="en-US"/>
        </w:rPr>
      </w:pPr>
      <w:r w:rsidRPr="00831397">
        <w:rPr>
          <w:lang w:val="en-US"/>
        </w:rPr>
        <w:tab/>
        <w:t xml:space="preserve">II.1.1 </w:t>
      </w:r>
      <w:r w:rsidRPr="00831397">
        <w:rPr>
          <w:lang w:val="en-US"/>
        </w:rPr>
        <w:tab/>
        <w:t xml:space="preserve">The IPCC as an undisputed </w:t>
      </w:r>
      <w:r w:rsidRPr="00831397">
        <w:rPr>
          <w:lang w:val="en-US"/>
        </w:rPr>
        <w:tab/>
        <w:t xml:space="preserve">scientific reference, recognized by the </w:t>
      </w:r>
    </w:p>
    <w:p w14:paraId="55D7B910" w14:textId="77777777" w:rsidR="004A3CD3" w:rsidRPr="00831397" w:rsidRDefault="006C0598">
      <w:pPr>
        <w:spacing w:after="10" w:line="348" w:lineRule="auto"/>
        <w:ind w:left="903" w:right="794"/>
        <w:rPr>
          <w:lang w:val="en-US"/>
        </w:rPr>
      </w:pPr>
      <w:r w:rsidRPr="00831397">
        <w:rPr>
          <w:lang w:val="en-US"/>
        </w:rPr>
        <w:t xml:space="preserve">international community ......................................................................................................... 8 II.1.2 Global warming and CO </w:t>
      </w:r>
      <w:r w:rsidRPr="00831397">
        <w:rPr>
          <w:vertAlign w:val="subscript"/>
          <w:lang w:val="en-US"/>
        </w:rPr>
        <w:t>2</w:t>
      </w:r>
      <w:r w:rsidRPr="00831397">
        <w:rPr>
          <w:lang w:val="en-US"/>
        </w:rPr>
        <w:t xml:space="preserve">....................................................................... 12 </w:t>
      </w:r>
    </w:p>
    <w:p w14:paraId="4FE36C1C" w14:textId="77777777" w:rsidR="004A3CD3" w:rsidRPr="00831397" w:rsidRDefault="006C0598">
      <w:pPr>
        <w:tabs>
          <w:tab w:val="center" w:pos="1126"/>
          <w:tab w:val="center" w:pos="5584"/>
        </w:tabs>
        <w:ind w:left="0" w:right="0" w:firstLine="0"/>
        <w:jc w:val="left"/>
        <w:rPr>
          <w:lang w:val="en-US"/>
        </w:rPr>
      </w:pPr>
      <w:r w:rsidRPr="00831397">
        <w:rPr>
          <w:lang w:val="en-US"/>
        </w:rPr>
        <w:tab/>
        <w:t xml:space="preserve">II.1.3 </w:t>
      </w:r>
      <w:r w:rsidRPr="00831397">
        <w:rPr>
          <w:lang w:val="en-US"/>
        </w:rPr>
        <w:tab/>
        <w:t xml:space="preserve">The key concept: dangerous global warming ............................................. 20 </w:t>
      </w:r>
    </w:p>
    <w:p w14:paraId="62B74B15" w14:textId="77777777" w:rsidR="004A3CD3" w:rsidRPr="00831397" w:rsidRDefault="006C0598">
      <w:pPr>
        <w:tabs>
          <w:tab w:val="center" w:pos="1126"/>
          <w:tab w:val="center" w:pos="5588"/>
        </w:tabs>
        <w:spacing w:after="11" w:line="248" w:lineRule="auto"/>
        <w:ind w:left="0" w:right="0" w:firstLine="0"/>
        <w:jc w:val="left"/>
        <w:rPr>
          <w:lang w:val="en-US"/>
        </w:rPr>
      </w:pPr>
      <w:r w:rsidRPr="00831397">
        <w:rPr>
          <w:lang w:val="en-US"/>
        </w:rPr>
        <w:tab/>
        <w:t xml:space="preserve">II.1.4 </w:t>
      </w:r>
      <w:r w:rsidRPr="00831397">
        <w:rPr>
          <w:lang w:val="en-US"/>
        </w:rPr>
        <w:tab/>
        <w:t xml:space="preserve">The carbon budget: the GHG emission reductions required to avoid the </w:t>
      </w:r>
    </w:p>
    <w:p w14:paraId="2CC84776" w14:textId="77777777" w:rsidR="004A3CD3" w:rsidRPr="00831397" w:rsidRDefault="006C0598">
      <w:pPr>
        <w:ind w:left="903" w:right="794"/>
        <w:rPr>
          <w:lang w:val="en-US"/>
        </w:rPr>
      </w:pPr>
      <w:r w:rsidRPr="00831397">
        <w:rPr>
          <w:lang w:val="en-US"/>
        </w:rPr>
        <w:t xml:space="preserve">dangerous global warming ........................................................................................ 22 </w:t>
      </w:r>
    </w:p>
    <w:p w14:paraId="1A6A43C0" w14:textId="77777777" w:rsidR="004A3CD3" w:rsidRPr="00831397" w:rsidRDefault="006C0598">
      <w:pPr>
        <w:ind w:left="684" w:right="431"/>
        <w:rPr>
          <w:lang w:val="en-US"/>
        </w:rPr>
      </w:pPr>
      <w:r>
        <w:rPr>
          <w:noProof/>
        </w:rPr>
        <w:drawing>
          <wp:inline distT="0" distB="0" distL="0" distR="0" wp14:anchorId="42478F39" wp14:editId="4E4E4E2E">
            <wp:extent cx="163830" cy="96774"/>
            <wp:effectExtent l="0" t="0" r="0" b="0"/>
            <wp:docPr id="590" name="Pictu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9"/>
                    <a:stretch>
                      <a:fillRect/>
                    </a:stretch>
                  </pic:blipFill>
                  <pic:spPr>
                    <a:xfrm>
                      <a:off x="0" y="0"/>
                      <a:ext cx="163830" cy="96774"/>
                    </a:xfrm>
                    <a:prstGeom prst="rect">
                      <a:avLst/>
                    </a:prstGeom>
                  </pic:spPr>
                </pic:pic>
              </a:graphicData>
            </a:graphic>
          </wp:inline>
        </w:drawing>
      </w:r>
      <w:r w:rsidRPr="00831397">
        <w:rPr>
          <w:lang w:val="en-US"/>
        </w:rPr>
        <w:t xml:space="preserve">  Respondents' explicit recognition of the need to reduce GHG emissions by at least 25% to 40% by 2020 ........................................................................................ 28 </w:t>
      </w:r>
    </w:p>
    <w:p w14:paraId="79B5D3F8" w14:textId="77777777" w:rsidR="004A3CD3" w:rsidRPr="00831397" w:rsidRDefault="006C0598">
      <w:pPr>
        <w:ind w:left="684" w:right="232"/>
        <w:rPr>
          <w:lang w:val="en-US"/>
        </w:rPr>
      </w:pPr>
      <w:r>
        <w:rPr>
          <w:noProof/>
        </w:rPr>
        <w:drawing>
          <wp:inline distT="0" distB="0" distL="0" distR="0" wp14:anchorId="2D1A17B3" wp14:editId="5D0BF176">
            <wp:extent cx="163830" cy="96774"/>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10"/>
                    <a:stretch>
                      <a:fillRect/>
                    </a:stretch>
                  </pic:blipFill>
                  <pic:spPr>
                    <a:xfrm>
                      <a:off x="0" y="0"/>
                      <a:ext cx="163830" cy="96774"/>
                    </a:xfrm>
                    <a:prstGeom prst="rect">
                      <a:avLst/>
                    </a:prstGeom>
                  </pic:spPr>
                </pic:pic>
              </a:graphicData>
            </a:graphic>
          </wp:inline>
        </w:drawing>
      </w:r>
      <w:r w:rsidRPr="00831397">
        <w:rPr>
          <w:lang w:val="en-US"/>
        </w:rPr>
        <w:t xml:space="preserve">  The inadequacy and insufficiency of international and European positive law standards for 2020 .......................................................................................................................................... 30 </w:t>
      </w:r>
    </w:p>
    <w:p w14:paraId="4F91CC46" w14:textId="77777777" w:rsidR="004A3CD3" w:rsidRPr="00831397" w:rsidRDefault="006C0598">
      <w:pPr>
        <w:tabs>
          <w:tab w:val="center" w:pos="1126"/>
          <w:tab w:val="center" w:pos="5584"/>
        </w:tabs>
        <w:ind w:left="0" w:right="0" w:firstLine="0"/>
        <w:jc w:val="left"/>
        <w:rPr>
          <w:lang w:val="en-US"/>
        </w:rPr>
      </w:pPr>
      <w:r w:rsidRPr="00831397">
        <w:rPr>
          <w:lang w:val="en-US"/>
        </w:rPr>
        <w:tab/>
        <w:t xml:space="preserve">II.3.1. </w:t>
      </w:r>
      <w:r w:rsidRPr="00831397">
        <w:rPr>
          <w:lang w:val="en-US"/>
        </w:rPr>
        <w:tab/>
        <w:t xml:space="preserve">The objectives set by the European Union ................................................................. 31 </w:t>
      </w:r>
    </w:p>
    <w:p w14:paraId="27568AF3" w14:textId="77777777" w:rsidR="004A3CD3" w:rsidRPr="00831397" w:rsidRDefault="006C0598">
      <w:pPr>
        <w:tabs>
          <w:tab w:val="center" w:pos="1126"/>
          <w:tab w:val="center" w:pos="5587"/>
        </w:tabs>
        <w:spacing w:after="11" w:line="248" w:lineRule="auto"/>
        <w:ind w:left="0" w:right="0" w:firstLine="0"/>
        <w:jc w:val="left"/>
        <w:rPr>
          <w:lang w:val="en-US"/>
        </w:rPr>
      </w:pPr>
      <w:r w:rsidRPr="00831397">
        <w:rPr>
          <w:lang w:val="en-US"/>
        </w:rPr>
        <w:tab/>
        <w:t xml:space="preserve">II.3.2 </w:t>
      </w:r>
      <w:r w:rsidRPr="00831397">
        <w:rPr>
          <w:lang w:val="en-US"/>
        </w:rPr>
        <w:tab/>
        <w:t>The 1997 Kyoto Protocol, as amended by the 2012 Doha Amendment</w:t>
      </w:r>
    </w:p>
    <w:p w14:paraId="3E1D46DF" w14:textId="77777777" w:rsidR="004A3CD3" w:rsidRDefault="006C0598">
      <w:pPr>
        <w:tabs>
          <w:tab w:val="center" w:pos="903"/>
          <w:tab w:val="center" w:pos="1896"/>
        </w:tabs>
        <w:ind w:left="0" w:right="0" w:firstLine="0"/>
        <w:jc w:val="left"/>
      </w:pPr>
      <w:r w:rsidRPr="00831397">
        <w:rPr>
          <w:lang w:val="en-US"/>
        </w:rPr>
        <w:tab/>
      </w:r>
      <w:r w:rsidRPr="00831397">
        <w:rPr>
          <w:lang w:val="en-US"/>
        </w:rPr>
        <w:tab/>
        <w:t xml:space="preserve"> </w:t>
      </w:r>
      <w:r>
        <w:t xml:space="preserve">33 </w:t>
      </w:r>
    </w:p>
    <w:p w14:paraId="0434B481" w14:textId="77777777" w:rsidR="004A3CD3" w:rsidRPr="00831397" w:rsidRDefault="006C0598">
      <w:pPr>
        <w:numPr>
          <w:ilvl w:val="0"/>
          <w:numId w:val="4"/>
        </w:numPr>
        <w:ind w:left="1315" w:right="794" w:hanging="710"/>
        <w:rPr>
          <w:lang w:val="en-US"/>
        </w:rPr>
      </w:pPr>
      <w:r w:rsidRPr="00831397">
        <w:rPr>
          <w:lang w:val="en-US"/>
        </w:rPr>
        <w:t xml:space="preserve">Statement of Basic Facts: Part II ...................................................................... 35 </w:t>
      </w:r>
    </w:p>
    <w:p w14:paraId="74FD6405" w14:textId="77777777" w:rsidR="004A3CD3" w:rsidRDefault="006C0598">
      <w:pPr>
        <w:spacing w:line="248" w:lineRule="auto"/>
        <w:ind w:left="615" w:right="791" w:hanging="10"/>
      </w:pPr>
      <w:r w:rsidRPr="00831397">
        <w:rPr>
          <w:lang w:val="en-US"/>
        </w:rPr>
        <w:t xml:space="preserve">On the importance of a minimally linear pathway for GHG reductions ................. </w:t>
      </w:r>
      <w:r>
        <w:t xml:space="preserve">35 </w:t>
      </w:r>
    </w:p>
    <w:p w14:paraId="37F305A2" w14:textId="77777777" w:rsidR="004A3CD3" w:rsidRPr="00831397" w:rsidRDefault="006C0598">
      <w:pPr>
        <w:numPr>
          <w:ilvl w:val="0"/>
          <w:numId w:val="4"/>
        </w:numPr>
        <w:ind w:left="1315" w:right="794" w:hanging="710"/>
        <w:rPr>
          <w:lang w:val="en-US"/>
        </w:rPr>
      </w:pPr>
      <w:r w:rsidRPr="00831397">
        <w:rPr>
          <w:lang w:val="en-US"/>
        </w:rPr>
        <w:t xml:space="preserve">Statement of Basic Facts: Part III ....................................................................... 37 </w:t>
      </w:r>
    </w:p>
    <w:p w14:paraId="012BEE66" w14:textId="77777777" w:rsidR="004A3CD3" w:rsidRPr="00831397" w:rsidRDefault="006C0598">
      <w:pPr>
        <w:ind w:left="605" w:right="794"/>
        <w:rPr>
          <w:lang w:val="en-US"/>
        </w:rPr>
      </w:pPr>
      <w:r w:rsidRPr="00831397">
        <w:rPr>
          <w:lang w:val="en-US"/>
        </w:rPr>
        <w:t xml:space="preserve">As for the climate emergency and the need to rule as quickly as possible on the present case 37 </w:t>
      </w:r>
    </w:p>
    <w:p w14:paraId="0D656AAB" w14:textId="77777777" w:rsidR="004A3CD3" w:rsidRDefault="006C0598">
      <w:pPr>
        <w:numPr>
          <w:ilvl w:val="0"/>
          <w:numId w:val="4"/>
        </w:numPr>
        <w:ind w:left="1315" w:right="794" w:hanging="710"/>
      </w:pPr>
      <w:r>
        <w:t xml:space="preserve">Subject of the call ................................................................................................................... 38 </w:t>
      </w:r>
    </w:p>
    <w:p w14:paraId="06B9CAAA" w14:textId="77777777" w:rsidR="004A3CD3" w:rsidRPr="00831397" w:rsidRDefault="006C0598">
      <w:pPr>
        <w:ind w:left="682" w:right="704"/>
        <w:rPr>
          <w:lang w:val="en-US"/>
        </w:rPr>
      </w:pPr>
      <w:r>
        <w:rPr>
          <w:noProof/>
        </w:rPr>
        <w:drawing>
          <wp:inline distT="0" distB="0" distL="0" distR="0" wp14:anchorId="2E3B27FD" wp14:editId="2E79F2DF">
            <wp:extent cx="182118" cy="96774"/>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681" name="Picture 681"/>
                    <pic:cNvPicPr/>
                  </pic:nvPicPr>
                  <pic:blipFill>
                    <a:blip r:embed="rId11"/>
                    <a:stretch>
                      <a:fillRect/>
                    </a:stretch>
                  </pic:blipFill>
                  <pic:spPr>
                    <a:xfrm>
                      <a:off x="0" y="0"/>
                      <a:ext cx="182118" cy="96774"/>
                    </a:xfrm>
                    <a:prstGeom prst="rect">
                      <a:avLst/>
                    </a:prstGeom>
                  </pic:spPr>
                </pic:pic>
              </a:graphicData>
            </a:graphic>
          </wp:inline>
        </w:drawing>
      </w:r>
      <w:r w:rsidRPr="00831397">
        <w:rPr>
          <w:lang w:val="en-US"/>
        </w:rPr>
        <w:t xml:space="preserve"> First complaint: the emission reduction targets imposed by the standard of conduct within the meaning of Articles 2 and 8 of the ECHR and Article 1382 of the Civil Code must be determined in the light of the authorities' knowledge of the danger threatening their populations and the measures to be taken to help prevent or limit it ..................................................... 38 </w:t>
      </w:r>
    </w:p>
    <w:p w14:paraId="20A07EA4" w14:textId="77777777" w:rsidR="004A3CD3" w:rsidRPr="00831397" w:rsidRDefault="006C0598">
      <w:pPr>
        <w:tabs>
          <w:tab w:val="center" w:pos="1133"/>
          <w:tab w:val="center" w:pos="5584"/>
        </w:tabs>
        <w:ind w:left="0" w:right="0" w:firstLine="0"/>
        <w:jc w:val="left"/>
        <w:rPr>
          <w:lang w:val="en-US"/>
        </w:rPr>
      </w:pPr>
      <w:r w:rsidRPr="00831397">
        <w:rPr>
          <w:lang w:val="en-US"/>
        </w:rPr>
        <w:tab/>
        <w:t xml:space="preserve">V.1.1 </w:t>
      </w:r>
      <w:r w:rsidRPr="00831397">
        <w:rPr>
          <w:lang w:val="en-US"/>
        </w:rPr>
        <w:tab/>
        <w:t xml:space="preserve">Reminder and criticism of the judgment .................................................................. 38 </w:t>
      </w:r>
    </w:p>
    <w:p w14:paraId="48270F1D" w14:textId="77777777" w:rsidR="004A3CD3" w:rsidRPr="00831397" w:rsidRDefault="006C0598">
      <w:pPr>
        <w:spacing w:after="0" w:line="248" w:lineRule="auto"/>
        <w:ind w:left="913" w:right="791" w:hanging="10"/>
        <w:rPr>
          <w:lang w:val="en-US"/>
        </w:rPr>
      </w:pPr>
      <w:r w:rsidRPr="00831397">
        <w:rPr>
          <w:lang w:val="en-US"/>
        </w:rPr>
        <w:t xml:space="preserve">V.1.2 In light of the knowledge of the hazard and the measures to be taken to avoid or mitigate it, what is the standard of behaviour required of authorities under the </w:t>
      </w:r>
    </w:p>
    <w:p w14:paraId="1D7BB034" w14:textId="77777777" w:rsidR="004A3CD3" w:rsidRPr="00831397" w:rsidRDefault="006C0598">
      <w:pPr>
        <w:numPr>
          <w:ilvl w:val="1"/>
          <w:numId w:val="4"/>
        </w:numPr>
        <w:ind w:left="1066" w:right="794" w:hanging="163"/>
        <w:rPr>
          <w:lang w:val="en-US"/>
        </w:rPr>
      </w:pPr>
      <w:r w:rsidRPr="00831397">
        <w:rPr>
          <w:lang w:val="en-US"/>
        </w:rPr>
        <w:t xml:space="preserve">and 8 of the ECHR and Article 1382 of the Civil Code? ................................................................. 40 </w:t>
      </w:r>
    </w:p>
    <w:p w14:paraId="2D2382D3" w14:textId="77777777" w:rsidR="004A3CD3" w:rsidRDefault="006C0598">
      <w:pPr>
        <w:tabs>
          <w:tab w:val="center" w:pos="891"/>
          <w:tab w:val="center" w:pos="5419"/>
        </w:tabs>
        <w:spacing w:after="98" w:line="259" w:lineRule="auto"/>
        <w:ind w:left="0" w:right="0" w:firstLine="0"/>
        <w:jc w:val="left"/>
      </w:pPr>
      <w:r w:rsidRPr="00831397">
        <w:rPr>
          <w:lang w:val="en-US"/>
        </w:rPr>
        <w:tab/>
      </w:r>
      <w:r>
        <w:rPr>
          <w:noProof/>
        </w:rPr>
        <w:drawing>
          <wp:inline distT="0" distB="0" distL="0" distR="0" wp14:anchorId="17672650" wp14:editId="6B35819C">
            <wp:extent cx="182118" cy="96774"/>
            <wp:effectExtent l="0" t="0" r="0" b="0"/>
            <wp:docPr id="720" name="Picture 720"/>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12"/>
                    <a:stretch>
                      <a:fillRect/>
                    </a:stretch>
                  </pic:blipFill>
                  <pic:spPr>
                    <a:xfrm>
                      <a:off x="0" y="0"/>
                      <a:ext cx="182118" cy="96774"/>
                    </a:xfrm>
                    <a:prstGeom prst="rect">
                      <a:avLst/>
                    </a:prstGeom>
                  </pic:spPr>
                </pic:pic>
              </a:graphicData>
            </a:graphic>
          </wp:inline>
        </w:drawing>
      </w:r>
      <w:r>
        <w:tab/>
        <w:t xml:space="preserve"> Second grievance: .................................................................................................................... 54 </w:t>
      </w:r>
    </w:p>
    <w:p w14:paraId="465E9A84" w14:textId="77777777" w:rsidR="004A3CD3" w:rsidRDefault="006C0598">
      <w:pPr>
        <w:numPr>
          <w:ilvl w:val="2"/>
          <w:numId w:val="4"/>
        </w:numPr>
        <w:ind w:right="794" w:firstLine="221"/>
      </w:pPr>
      <w:r w:rsidRPr="00831397">
        <w:rPr>
          <w:lang w:val="en-US"/>
        </w:rPr>
        <w:lastRenderedPageBreak/>
        <w:t xml:space="preserve">Reminder and criticism of the judgment .................................................................. </w:t>
      </w:r>
      <w:r>
        <w:t xml:space="preserve">55 </w:t>
      </w:r>
    </w:p>
    <w:p w14:paraId="365A86D5" w14:textId="77777777" w:rsidR="004A3CD3" w:rsidRDefault="006C0598">
      <w:pPr>
        <w:numPr>
          <w:ilvl w:val="2"/>
          <w:numId w:val="4"/>
        </w:numPr>
        <w:ind w:right="794" w:firstLine="221"/>
      </w:pPr>
      <w:r>
        <w:t xml:space="preserve">The applicable principles............................................................................................. 56 </w:t>
      </w:r>
    </w:p>
    <w:p w14:paraId="49F35ACB" w14:textId="77777777" w:rsidR="004A3CD3" w:rsidRDefault="006C0598">
      <w:pPr>
        <w:numPr>
          <w:ilvl w:val="2"/>
          <w:numId w:val="4"/>
        </w:numPr>
        <w:spacing w:line="346" w:lineRule="auto"/>
        <w:ind w:right="794" w:firstLine="221"/>
      </w:pPr>
      <w:r w:rsidRPr="00831397">
        <w:rPr>
          <w:lang w:val="en-US"/>
        </w:rPr>
        <w:t xml:space="preserve">Application in this case ............................................................................................... 59 </w:t>
      </w:r>
      <w:r>
        <w:rPr>
          <w:noProof/>
        </w:rPr>
        <w:drawing>
          <wp:inline distT="0" distB="0" distL="0" distR="0" wp14:anchorId="7EBA2080" wp14:editId="457DBED1">
            <wp:extent cx="182118" cy="96774"/>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761" name="Picture 761"/>
                    <pic:cNvPicPr/>
                  </pic:nvPicPr>
                  <pic:blipFill>
                    <a:blip r:embed="rId13"/>
                    <a:stretch>
                      <a:fillRect/>
                    </a:stretch>
                  </pic:blipFill>
                  <pic:spPr>
                    <a:xfrm>
                      <a:off x="0" y="0"/>
                      <a:ext cx="182118" cy="96774"/>
                    </a:xfrm>
                    <a:prstGeom prst="rect">
                      <a:avLst/>
                    </a:prstGeom>
                  </pic:spPr>
                </pic:pic>
              </a:graphicData>
            </a:graphic>
          </wp:inline>
        </w:drawing>
      </w:r>
      <w:r w:rsidRPr="00831397">
        <w:rPr>
          <w:lang w:val="en-US"/>
        </w:rPr>
        <w:t xml:space="preserve">Other objections .......................................................................................................................... </w:t>
      </w:r>
      <w:r>
        <w:t xml:space="preserve">61 </w:t>
      </w:r>
    </w:p>
    <w:p w14:paraId="17EEE72E" w14:textId="77777777" w:rsidR="004A3CD3" w:rsidRPr="00831397" w:rsidRDefault="006C0598">
      <w:pPr>
        <w:numPr>
          <w:ilvl w:val="2"/>
          <w:numId w:val="5"/>
        </w:numPr>
        <w:spacing w:after="11" w:line="248" w:lineRule="auto"/>
        <w:ind w:right="794"/>
        <w:rPr>
          <w:lang w:val="en-US"/>
        </w:rPr>
      </w:pPr>
      <w:r w:rsidRPr="00831397">
        <w:rPr>
          <w:lang w:val="en-US"/>
        </w:rPr>
        <w:t xml:space="preserve">The UNFCCC has not been amended by the Kyoto Protocol and the Paris Agreement; its </w:t>
      </w:r>
    </w:p>
    <w:p w14:paraId="4327837D" w14:textId="77777777" w:rsidR="004A3CD3" w:rsidRDefault="006C0598">
      <w:pPr>
        <w:ind w:left="903" w:right="794"/>
      </w:pPr>
      <w:r>
        <w:t xml:space="preserve">original wording remains unchanged .............................................................................................. 61 </w:t>
      </w:r>
    </w:p>
    <w:p w14:paraId="5DEC1997" w14:textId="77777777" w:rsidR="004A3CD3" w:rsidRPr="00831397" w:rsidRDefault="006C0598">
      <w:pPr>
        <w:numPr>
          <w:ilvl w:val="2"/>
          <w:numId w:val="5"/>
        </w:numPr>
        <w:spacing w:after="0"/>
        <w:ind w:right="794"/>
        <w:rPr>
          <w:lang w:val="en-US"/>
        </w:rPr>
      </w:pPr>
      <w:r w:rsidRPr="00831397">
        <w:rPr>
          <w:lang w:val="en-US"/>
        </w:rPr>
        <w:t xml:space="preserve">The court erred in considering that it was required to exercise only marginal control over the authorities' compliance with the standard of conduct imposed by Articles 2 and 8 of the </w:t>
      </w:r>
    </w:p>
    <w:p w14:paraId="459EA520" w14:textId="77777777" w:rsidR="004A3CD3" w:rsidRDefault="006C0598">
      <w:pPr>
        <w:ind w:left="903" w:right="794"/>
      </w:pPr>
      <w:r w:rsidRPr="00831397">
        <w:rPr>
          <w:lang w:val="en-US"/>
        </w:rPr>
        <w:t xml:space="preserve">ECHR and by Article 1382 of the Civil Code ..................................................................................... </w:t>
      </w:r>
      <w:r>
        <w:t xml:space="preserve">62 </w:t>
      </w:r>
    </w:p>
    <w:p w14:paraId="72318C59" w14:textId="77777777" w:rsidR="004A3CD3" w:rsidRDefault="006C0598">
      <w:pPr>
        <w:numPr>
          <w:ilvl w:val="2"/>
          <w:numId w:val="5"/>
        </w:numPr>
        <w:ind w:right="794"/>
      </w:pPr>
      <w:r w:rsidRPr="00831397">
        <w:rPr>
          <w:lang w:val="en-US"/>
        </w:rPr>
        <w:t xml:space="preserve">The court wrongly considered that mitigation and adaptation are both adequate responses to global warming and that 450 ppm of GHGs is a limit that should not be exceeded before 2100 ............................................................................................................ </w:t>
      </w:r>
      <w:r>
        <w:t xml:space="preserve">63 </w:t>
      </w:r>
    </w:p>
    <w:p w14:paraId="71E2165C" w14:textId="77777777" w:rsidR="004A3CD3" w:rsidRDefault="006C0598">
      <w:pPr>
        <w:numPr>
          <w:ilvl w:val="0"/>
          <w:numId w:val="4"/>
        </w:numPr>
        <w:spacing w:after="98" w:line="259" w:lineRule="auto"/>
        <w:ind w:left="1315" w:right="794" w:hanging="710"/>
      </w:pPr>
      <w:r>
        <w:t xml:space="preserve">On call ............................................................................................................................ 65 </w:t>
      </w:r>
    </w:p>
    <w:p w14:paraId="0980B425" w14:textId="77777777" w:rsidR="004A3CD3" w:rsidRDefault="006C0598">
      <w:pPr>
        <w:numPr>
          <w:ilvl w:val="0"/>
          <w:numId w:val="4"/>
        </w:numPr>
        <w:spacing w:after="98" w:line="259" w:lineRule="auto"/>
        <w:ind w:left="1315" w:right="794" w:hanging="710"/>
      </w:pPr>
      <w:r>
        <w:t xml:space="preserve">On costs ..................................................................................................................... 66 </w:t>
      </w:r>
    </w:p>
    <w:p w14:paraId="298BB880" w14:textId="77777777" w:rsidR="004A3CD3" w:rsidRDefault="006C0598">
      <w:pPr>
        <w:pStyle w:val="Heading1"/>
        <w:ind w:left="1315" w:hanging="710"/>
      </w:pPr>
      <w:bookmarkStart w:id="0" w:name="_Toc179567"/>
      <w:r>
        <w:t xml:space="preserve">Device .............................................................................................................................. 67 </w:t>
      </w:r>
      <w:bookmarkEnd w:id="0"/>
    </w:p>
    <w:p w14:paraId="7031BDCB" w14:textId="77777777" w:rsidR="004A3CD3" w:rsidRDefault="006C0598">
      <w:pPr>
        <w:numPr>
          <w:ilvl w:val="0"/>
          <w:numId w:val="6"/>
        </w:numPr>
        <w:spacing w:after="15" w:line="346" w:lineRule="auto"/>
        <w:ind w:right="790" w:hanging="710"/>
      </w:pPr>
      <w:r>
        <w:t xml:space="preserve">List of diagrams ................................................................................................................ 69 </w:t>
      </w:r>
    </w:p>
    <w:p w14:paraId="3F4B16E6" w14:textId="77777777" w:rsidR="004A3CD3" w:rsidRDefault="006C0598">
      <w:pPr>
        <w:numPr>
          <w:ilvl w:val="0"/>
          <w:numId w:val="6"/>
        </w:numPr>
        <w:spacing w:after="98" w:line="259" w:lineRule="auto"/>
        <w:ind w:right="790" w:hanging="710"/>
      </w:pPr>
      <w:r>
        <w:t xml:space="preserve">Inventory of parts ........................................................................................................... 69 </w:t>
      </w:r>
    </w:p>
    <w:p w14:paraId="3EBA3CA9" w14:textId="77777777" w:rsidR="00E933CB" w:rsidRDefault="00825B93">
      <w:pPr>
        <w:spacing w:after="317" w:line="259" w:lineRule="auto"/>
        <w:ind w:left="276" w:right="0" w:firstLine="0"/>
        <w:jc w:val="center"/>
      </w:pPr>
      <w:r>
        <w:rPr>
          <w:b/>
        </w:rPr>
        <w:t xml:space="preserve"> </w:t>
      </w:r>
    </w:p>
    <w:p w14:paraId="09B607B3" w14:textId="77777777" w:rsidR="004A3CD3" w:rsidRDefault="006C0598">
      <w:pPr>
        <w:tabs>
          <w:tab w:val="center" w:pos="390"/>
          <w:tab w:val="center" w:pos="2142"/>
        </w:tabs>
        <w:spacing w:after="203" w:line="249" w:lineRule="auto"/>
        <w:ind w:left="0" w:right="0" w:firstLine="0"/>
        <w:jc w:val="left"/>
      </w:pPr>
      <w:r>
        <w:tab/>
      </w:r>
      <w:r>
        <w:rPr>
          <w:b/>
          <w:sz w:val="28"/>
        </w:rPr>
        <w:t xml:space="preserve">I. </w:t>
      </w:r>
      <w:r>
        <w:rPr>
          <w:rFonts w:ascii="Arial" w:eastAsia="Arial" w:hAnsi="Arial" w:cs="Arial"/>
          <w:b/>
          <w:sz w:val="28"/>
        </w:rPr>
        <w:tab/>
      </w:r>
      <w:r>
        <w:rPr>
          <w:b/>
          <w:sz w:val="28"/>
          <w:u w:val="single" w:color="000000"/>
        </w:rPr>
        <w:t xml:space="preserve">As a preliminary remark </w:t>
      </w:r>
    </w:p>
    <w:p w14:paraId="27520B83" w14:textId="77777777" w:rsidR="004A3CD3" w:rsidRPr="00831397" w:rsidRDefault="006C0598">
      <w:pPr>
        <w:numPr>
          <w:ilvl w:val="0"/>
          <w:numId w:val="7"/>
        </w:numPr>
        <w:spacing w:after="265"/>
        <w:ind w:right="792" w:hanging="566"/>
        <w:rPr>
          <w:lang w:val="en-US"/>
        </w:rPr>
      </w:pPr>
      <w:r w:rsidRPr="00831397">
        <w:rPr>
          <w:lang w:val="en-US"/>
        </w:rPr>
        <w:t xml:space="preserve">The purpose of this appeal is to </w:t>
      </w:r>
      <w:r w:rsidRPr="00831397">
        <w:rPr>
          <w:b/>
          <w:lang w:val="en-US"/>
        </w:rPr>
        <w:t xml:space="preserve">partially </w:t>
      </w:r>
      <w:r w:rsidRPr="00831397">
        <w:rPr>
          <w:lang w:val="en-US"/>
        </w:rPr>
        <w:t>reverse the judgment of 17 June 2021 (R.G. 2015/4585/A) by the 4th</w:t>
      </w:r>
      <w:r w:rsidRPr="00831397">
        <w:rPr>
          <w:vertAlign w:val="superscript"/>
          <w:lang w:val="en-US"/>
        </w:rPr>
        <w:t>e</w:t>
      </w:r>
      <w:r w:rsidRPr="00831397">
        <w:rPr>
          <w:lang w:val="en-US"/>
        </w:rPr>
        <w:t xml:space="preserve"> Chamber of the French-speaking Court of First Instance of Brussels, Civil Section (hereinafter "the judgment of 17 June 2021" or "the judgment under appeal"). </w:t>
      </w:r>
    </w:p>
    <w:p w14:paraId="11905DE2" w14:textId="77777777" w:rsidR="004A3CD3" w:rsidRPr="00831397" w:rsidRDefault="006C0598">
      <w:pPr>
        <w:numPr>
          <w:ilvl w:val="0"/>
          <w:numId w:val="7"/>
        </w:numPr>
        <w:spacing w:line="248" w:lineRule="auto"/>
        <w:ind w:right="792" w:hanging="566"/>
        <w:rPr>
          <w:lang w:val="en-US"/>
        </w:rPr>
      </w:pPr>
      <w:r w:rsidRPr="00831397">
        <w:rPr>
          <w:lang w:val="en-US"/>
        </w:rPr>
        <w:t xml:space="preserve">The judgment of 17 June 2021 </w:t>
      </w:r>
      <w:r w:rsidRPr="00831397">
        <w:rPr>
          <w:b/>
          <w:lang w:val="en-US"/>
        </w:rPr>
        <w:t>rightly</w:t>
      </w:r>
      <w:r w:rsidRPr="00831397">
        <w:rPr>
          <w:lang w:val="en-US"/>
        </w:rPr>
        <w:t xml:space="preserve"> decided that the main claim was admissible both in respect of Klimaatzaak vzw and in respect of the co-plaintiffs mentioned in the annex (Annex A) to the summons to institute proceedings of 2 June 2015. </w:t>
      </w:r>
    </w:p>
    <w:p w14:paraId="6A6E70E7" w14:textId="77777777" w:rsidR="004A3CD3" w:rsidRPr="00831397" w:rsidRDefault="006C0598">
      <w:pPr>
        <w:ind w:left="1015" w:right="794"/>
        <w:rPr>
          <w:lang w:val="en-US"/>
        </w:rPr>
      </w:pPr>
      <w:r w:rsidRPr="00831397">
        <w:rPr>
          <w:lang w:val="en-US"/>
        </w:rPr>
        <w:t xml:space="preserve">The judgment under appeal also </w:t>
      </w:r>
      <w:r w:rsidRPr="00831397">
        <w:rPr>
          <w:b/>
          <w:lang w:val="en-US"/>
        </w:rPr>
        <w:t xml:space="preserve">rightly </w:t>
      </w:r>
      <w:r w:rsidRPr="00831397">
        <w:rPr>
          <w:lang w:val="en-US"/>
        </w:rPr>
        <w:t xml:space="preserve">decided that the voluntary intervention of Mrs Inge De Vriendt and the persons mentioned in the annex to the application for voluntary intervention of 12 June 2019 (Annex B) was admissible. </w:t>
      </w:r>
    </w:p>
    <w:p w14:paraId="29EE4AE6" w14:textId="77777777" w:rsidR="004A3CD3" w:rsidRPr="00831397" w:rsidRDefault="006C0598">
      <w:pPr>
        <w:ind w:left="1015" w:right="794"/>
        <w:rPr>
          <w:lang w:val="en-US"/>
        </w:rPr>
      </w:pPr>
      <w:r w:rsidRPr="00831397">
        <w:rPr>
          <w:lang w:val="en-US"/>
        </w:rPr>
        <w:t xml:space="preserve">It is also </w:t>
      </w:r>
      <w:r w:rsidRPr="00831397">
        <w:rPr>
          <w:b/>
          <w:lang w:val="en-US"/>
        </w:rPr>
        <w:t xml:space="preserve">rightly </w:t>
      </w:r>
      <w:r w:rsidRPr="00831397">
        <w:rPr>
          <w:lang w:val="en-US"/>
        </w:rPr>
        <w:t xml:space="preserve">that the judgment in question "ruled that, in pursuing their climate policy, the defendants did not behave like normally prudent and diligent authorities, which constitutes a fault within the meaning of Article 1382 of the Civil Code". </w:t>
      </w:r>
    </w:p>
    <w:p w14:paraId="35BC327F" w14:textId="77777777" w:rsidR="004A3CD3" w:rsidRPr="00831397" w:rsidRDefault="006C0598">
      <w:pPr>
        <w:ind w:left="1015" w:right="794"/>
        <w:rPr>
          <w:lang w:val="en-US"/>
        </w:rPr>
      </w:pPr>
      <w:r w:rsidRPr="00831397">
        <w:rPr>
          <w:lang w:val="en-US"/>
        </w:rPr>
        <w:t xml:space="preserve">It is still </w:t>
      </w:r>
      <w:r w:rsidRPr="00831397">
        <w:rPr>
          <w:b/>
          <w:lang w:val="en-US"/>
        </w:rPr>
        <w:t xml:space="preserve">rightly </w:t>
      </w:r>
      <w:r w:rsidRPr="00831397">
        <w:rPr>
          <w:lang w:val="en-US"/>
        </w:rPr>
        <w:t xml:space="preserve">that the judgment of 17 June 2021 "held that, in pursuing their climate policy, the defendants infringe the fundamental rights of the plaintiffs, and more specifically Articles 2 and 8 of the ECHR, by failing to take all necessary measures to prevent the effects of climate change affecting the plaintiffs' lives and privacy". </w:t>
      </w:r>
    </w:p>
    <w:p w14:paraId="0FE9FCEB" w14:textId="77777777" w:rsidR="004A3CD3" w:rsidRPr="00831397" w:rsidRDefault="006C0598">
      <w:pPr>
        <w:ind w:left="1015" w:right="794"/>
        <w:rPr>
          <w:lang w:val="en-US"/>
        </w:rPr>
      </w:pPr>
      <w:r w:rsidRPr="00831397">
        <w:rPr>
          <w:lang w:val="en-US"/>
        </w:rPr>
        <w:lastRenderedPageBreak/>
        <w:t xml:space="preserve">This is clearly right. The consequences of global warming that lead to a violation of Articles 2 and 8 of the ECHR include extreme heat, extreme droughts, extreme precipitation, disruption of ecosystems such that food security is endangered, rising sea levels due to melting ice caps and glaciers, floods etc. Warming may also lead to the passing of tipping points, which implies drastic and irreversible changes in the global climate, with no chance of a return to the previous situation. As a result, the lives, well-being and living environment of all the world's inhabitants are at risk. These consequences of global warming have been occurring all over the world for years. In Belgium, too, we have been experiencing them for years, with, among other things, repeated lethal heat waves over the past few decades and, this summer, the destructive floods in Wallonia, causing deaths, enormous damage to homes and essential infrastructure, and trauma to the people who experienced the violence of these extreme weather circumstances and are now still suffering the misery. </w:t>
      </w:r>
    </w:p>
    <w:p w14:paraId="1E98817D" w14:textId="77777777" w:rsidR="004A3CD3" w:rsidRPr="00831397" w:rsidRDefault="006C0598">
      <w:pPr>
        <w:spacing w:after="283"/>
        <w:ind w:left="1040" w:right="792" w:hanging="10"/>
        <w:rPr>
          <w:lang w:val="en-US"/>
        </w:rPr>
      </w:pPr>
      <w:r w:rsidRPr="00831397">
        <w:rPr>
          <w:lang w:val="en-US"/>
        </w:rPr>
        <w:t>In this respect, specifically for Belgium and its inhabitants, the judgment in question considers: "</w:t>
      </w:r>
      <w:r w:rsidRPr="00831397">
        <w:rPr>
          <w:i/>
          <w:lang w:val="en-US"/>
        </w:rPr>
        <w:t xml:space="preserve">The climate projections for Belgium by 2100 indicate consequences that have already been observed (...) as well as a concrete threat to the territorial integrity of the country, and more particularly of Flanders exposed to rising sea levels, and to human and animal health. Consequently, the diplomatic consensus based on the most authoritative climate science leaves no </w:t>
      </w:r>
      <w:r w:rsidRPr="00831397">
        <w:rPr>
          <w:b/>
          <w:i/>
          <w:lang w:val="en-US"/>
        </w:rPr>
        <w:t>room for doubt that a real threat of dangerous climate change exists</w:t>
      </w:r>
      <w:r w:rsidRPr="00831397">
        <w:rPr>
          <w:i/>
          <w:lang w:val="en-US"/>
        </w:rPr>
        <w:t xml:space="preserve">. This threat poses a serious risk to </w:t>
      </w:r>
      <w:r w:rsidRPr="00831397">
        <w:rPr>
          <w:b/>
          <w:i/>
          <w:lang w:val="en-US"/>
        </w:rPr>
        <w:t xml:space="preserve">current and future generations living in Belgium in particular </w:t>
      </w:r>
      <w:r w:rsidRPr="00831397">
        <w:rPr>
          <w:i/>
          <w:lang w:val="en-US"/>
        </w:rPr>
        <w:t xml:space="preserve">that their daily lives will be profoundly disrupted. </w:t>
      </w:r>
      <w:r w:rsidRPr="00831397">
        <w:rPr>
          <w:lang w:val="en-US"/>
        </w:rPr>
        <w:t xml:space="preserve">»  </w:t>
      </w:r>
      <w:r>
        <w:rPr>
          <w:sz w:val="20"/>
          <w:vertAlign w:val="superscript"/>
        </w:rPr>
        <w:footnoteReference w:id="2"/>
      </w:r>
    </w:p>
    <w:p w14:paraId="5BAC6223" w14:textId="77777777" w:rsidR="004A3CD3" w:rsidRPr="00831397" w:rsidRDefault="006C0598">
      <w:pPr>
        <w:numPr>
          <w:ilvl w:val="0"/>
          <w:numId w:val="8"/>
        </w:numPr>
        <w:ind w:right="794" w:hanging="566"/>
        <w:rPr>
          <w:lang w:val="en-US"/>
        </w:rPr>
      </w:pPr>
      <w:r w:rsidRPr="00831397">
        <w:rPr>
          <w:lang w:val="en-US"/>
        </w:rPr>
        <w:t>On the other hand, the judgment under appeal wrongly decided to dismiss the plaintiffs "</w:t>
      </w:r>
      <w:r w:rsidRPr="00831397">
        <w:rPr>
          <w:i/>
          <w:lang w:val="en-US"/>
        </w:rPr>
        <w:t>for the remainder of their claim</w:t>
      </w:r>
      <w:r w:rsidRPr="00831397">
        <w:rPr>
          <w:lang w:val="en-US"/>
        </w:rPr>
        <w:t xml:space="preserve">", including first and foremost the </w:t>
      </w:r>
      <w:r w:rsidRPr="00831397">
        <w:rPr>
          <w:b/>
          <w:lang w:val="en-US"/>
        </w:rPr>
        <w:t>refusal to impose the requested greenhouse gas (GHG) reductions on the defendants</w:t>
      </w:r>
      <w:r w:rsidRPr="00831397">
        <w:rPr>
          <w:lang w:val="en-US"/>
        </w:rPr>
        <w:t xml:space="preserve">, on the </w:t>
      </w:r>
      <w:r w:rsidRPr="00831397">
        <w:rPr>
          <w:b/>
          <w:lang w:val="en-US"/>
        </w:rPr>
        <w:t xml:space="preserve">principal ground that the separation of powers </w:t>
      </w:r>
      <w:r w:rsidRPr="00831397">
        <w:rPr>
          <w:lang w:val="en-US"/>
        </w:rPr>
        <w:t xml:space="preserve">would preclude it. (1) Since GHG emission reductions are </w:t>
      </w:r>
      <w:r w:rsidRPr="00831397">
        <w:rPr>
          <w:b/>
          <w:lang w:val="en-US"/>
        </w:rPr>
        <w:t xml:space="preserve">the only </w:t>
      </w:r>
      <w:r w:rsidRPr="00831397">
        <w:rPr>
          <w:lang w:val="en-US"/>
        </w:rPr>
        <w:t xml:space="preserve">effective </w:t>
      </w:r>
      <w:r w:rsidRPr="00831397">
        <w:rPr>
          <w:b/>
          <w:lang w:val="en-US"/>
        </w:rPr>
        <w:t xml:space="preserve">remedy for the </w:t>
      </w:r>
      <w:r w:rsidRPr="00831397">
        <w:rPr>
          <w:lang w:val="en-US"/>
        </w:rPr>
        <w:t xml:space="preserve">violation of the rights of the defendants and interveners found, that refusal </w:t>
      </w:r>
      <w:r w:rsidRPr="00831397">
        <w:rPr>
          <w:b/>
          <w:lang w:val="en-US"/>
        </w:rPr>
        <w:t xml:space="preserve">deprives </w:t>
      </w:r>
      <w:r w:rsidRPr="00831397">
        <w:rPr>
          <w:lang w:val="en-US"/>
        </w:rPr>
        <w:t xml:space="preserve">them </w:t>
      </w:r>
      <w:r w:rsidRPr="00831397">
        <w:rPr>
          <w:b/>
          <w:lang w:val="en-US"/>
        </w:rPr>
        <w:t>of an effective legal remedy</w:t>
      </w:r>
      <w:r w:rsidRPr="00831397">
        <w:rPr>
          <w:lang w:val="en-US"/>
        </w:rPr>
        <w:t>. In so doing, the judgment infringes Article 13 of the European Convention on Human Rights (</w:t>
      </w:r>
      <w:r w:rsidRPr="00831397">
        <w:rPr>
          <w:u w:val="single" w:color="000000"/>
          <w:lang w:val="en-US"/>
        </w:rPr>
        <w:t>ECHR</w:t>
      </w:r>
      <w:r w:rsidRPr="00831397">
        <w:rPr>
          <w:lang w:val="en-US"/>
        </w:rPr>
        <w:t>) and Article 9(4) of the Convention of 25 June 1998 on Access to Information, Participation in Decision-making and Access to Justice in Environmental Matters (</w:t>
      </w:r>
      <w:r w:rsidRPr="00831397">
        <w:rPr>
          <w:u w:val="single" w:color="000000"/>
          <w:lang w:val="en-US"/>
        </w:rPr>
        <w:t>Aarhus Convention</w:t>
      </w:r>
      <w:r w:rsidRPr="00831397">
        <w:rPr>
          <w:lang w:val="en-US"/>
        </w:rPr>
        <w:t xml:space="preserve">). (2) In addition, the </w:t>
      </w:r>
      <w:r w:rsidRPr="00831397">
        <w:rPr>
          <w:b/>
          <w:lang w:val="en-US"/>
        </w:rPr>
        <w:t xml:space="preserve">minimum </w:t>
      </w:r>
      <w:r w:rsidRPr="00831397">
        <w:rPr>
          <w:lang w:val="en-US"/>
        </w:rPr>
        <w:t xml:space="preserve">amount of GHG emission reductions required at the national level is determined on the basis of the universally recognised limit of dangerous warming, i.e. well below 2°C and continuing to 1.5°C, and on the basis of the residual global carbon budget that this limit implies, </w:t>
      </w:r>
      <w:r w:rsidRPr="00831397">
        <w:rPr>
          <w:b/>
          <w:lang w:val="en-US"/>
        </w:rPr>
        <w:t>without any margin of appreciation for the defendants</w:t>
      </w:r>
      <w:r w:rsidRPr="00831397">
        <w:rPr>
          <w:lang w:val="en-US"/>
        </w:rPr>
        <w:t xml:space="preserve">. (3) Finally, by issuing such injunctions, the judge would be imposing only the goal to be achieved, while leaving the defendants </w:t>
      </w:r>
      <w:r w:rsidRPr="00831397">
        <w:rPr>
          <w:b/>
          <w:lang w:val="en-US"/>
        </w:rPr>
        <w:t xml:space="preserve">entirely free to </w:t>
      </w:r>
      <w:r w:rsidRPr="00831397">
        <w:rPr>
          <w:lang w:val="en-US"/>
        </w:rPr>
        <w:t xml:space="preserve">determine the </w:t>
      </w:r>
      <w:r w:rsidRPr="00831397">
        <w:rPr>
          <w:b/>
          <w:lang w:val="en-US"/>
        </w:rPr>
        <w:t xml:space="preserve">means </w:t>
      </w:r>
      <w:r w:rsidRPr="00831397">
        <w:rPr>
          <w:lang w:val="en-US"/>
        </w:rPr>
        <w:t xml:space="preserve">to achieve that goal. </w:t>
      </w:r>
    </w:p>
    <w:p w14:paraId="7F3DCEB9" w14:textId="77777777" w:rsidR="004A3CD3" w:rsidRPr="00831397" w:rsidRDefault="006C0598">
      <w:pPr>
        <w:spacing w:after="267"/>
        <w:ind w:left="1015" w:right="794"/>
        <w:rPr>
          <w:lang w:val="en-US"/>
        </w:rPr>
      </w:pPr>
      <w:r w:rsidRPr="00831397">
        <w:rPr>
          <w:lang w:val="en-US"/>
        </w:rPr>
        <w:t xml:space="preserve">The judgment of 17 June 2021 was also </w:t>
      </w:r>
      <w:r w:rsidRPr="00831397">
        <w:rPr>
          <w:b/>
          <w:lang w:val="en-US"/>
        </w:rPr>
        <w:t xml:space="preserve">wrong to </w:t>
      </w:r>
      <w:r w:rsidRPr="00831397">
        <w:rPr>
          <w:lang w:val="en-US"/>
        </w:rPr>
        <w:t xml:space="preserve">assess the obligation of conduct imposed by Articles 2 and 8 of the ECHR and by Article 1382 of the Civil Code exclusively in the light of the binding obligations of the defendants under international, European and national intra-Belgian climate law. This standard of conduct must be assessed in the light of the </w:t>
      </w:r>
      <w:r w:rsidRPr="00831397">
        <w:rPr>
          <w:b/>
          <w:lang w:val="en-US"/>
        </w:rPr>
        <w:t>universally recognised limit of dangerous warming</w:t>
      </w:r>
      <w:r w:rsidRPr="00831397">
        <w:rPr>
          <w:lang w:val="en-US"/>
        </w:rPr>
        <w:t xml:space="preserve">, initially understood as a limit of 2°C and subsequently understood as a limit significantly below 2°C and pursuing 1.5°C, a factual fact enshrined in December 2015 in the Paris Agreement. As this is a </w:t>
      </w:r>
      <w:r w:rsidRPr="00831397">
        <w:rPr>
          <w:b/>
          <w:lang w:val="en-US"/>
        </w:rPr>
        <w:t xml:space="preserve">factual fact universally recognized </w:t>
      </w:r>
      <w:r w:rsidRPr="00831397">
        <w:rPr>
          <w:lang w:val="en-US"/>
        </w:rPr>
        <w:t xml:space="preserve">by the global scientific and political community, the binding or non-binding quality of the texts in which it is enshrined is irrelevant to the resolution of the dispute in this case. </w:t>
      </w:r>
    </w:p>
    <w:p w14:paraId="013092A3" w14:textId="77777777" w:rsidR="004A3CD3" w:rsidRPr="00831397" w:rsidRDefault="006C0598">
      <w:pPr>
        <w:numPr>
          <w:ilvl w:val="0"/>
          <w:numId w:val="8"/>
        </w:numPr>
        <w:ind w:right="794" w:hanging="566"/>
        <w:rPr>
          <w:lang w:val="en-US"/>
        </w:rPr>
      </w:pPr>
      <w:r w:rsidRPr="00831397">
        <w:rPr>
          <w:lang w:val="en-US"/>
        </w:rPr>
        <w:t xml:space="preserve">Finally, it is always </w:t>
      </w:r>
      <w:r w:rsidRPr="00831397">
        <w:rPr>
          <w:b/>
          <w:lang w:val="en-US"/>
        </w:rPr>
        <w:t xml:space="preserve">wrongly </w:t>
      </w:r>
      <w:r w:rsidRPr="00831397">
        <w:rPr>
          <w:lang w:val="en-US"/>
        </w:rPr>
        <w:t xml:space="preserve">that the judgement undertaken advances: </w:t>
      </w:r>
    </w:p>
    <w:p w14:paraId="3F761B68" w14:textId="77777777" w:rsidR="004A3CD3" w:rsidRPr="00831397" w:rsidRDefault="006C0598">
      <w:pPr>
        <w:numPr>
          <w:ilvl w:val="1"/>
          <w:numId w:val="8"/>
        </w:numPr>
        <w:spacing w:after="27"/>
        <w:ind w:right="794" w:hanging="360"/>
        <w:rPr>
          <w:lang w:val="en-US"/>
        </w:rPr>
      </w:pPr>
      <w:r w:rsidRPr="00831397">
        <w:rPr>
          <w:lang w:val="en-US"/>
        </w:rPr>
        <w:lastRenderedPageBreak/>
        <w:t>that the United Nations Framework Convention on Climate Change (</w:t>
      </w:r>
      <w:r w:rsidRPr="00831397">
        <w:rPr>
          <w:u w:val="single" w:color="000000"/>
          <w:lang w:val="en-US"/>
        </w:rPr>
        <w:t>UNFCCC</w:t>
      </w:r>
      <w:r w:rsidRPr="00831397">
        <w:rPr>
          <w:lang w:val="en-US"/>
        </w:rPr>
        <w:t xml:space="preserve">) (1992) has been amended by the Kyoto Protocol (2007) and the Paris Agreement (2015); </w:t>
      </w:r>
    </w:p>
    <w:p w14:paraId="3106345C" w14:textId="77777777" w:rsidR="004A3CD3" w:rsidRPr="00831397" w:rsidRDefault="006C0598">
      <w:pPr>
        <w:numPr>
          <w:ilvl w:val="1"/>
          <w:numId w:val="8"/>
        </w:numPr>
        <w:spacing w:after="24"/>
        <w:ind w:right="794" w:hanging="360"/>
        <w:rPr>
          <w:lang w:val="en-US"/>
        </w:rPr>
      </w:pPr>
      <w:r w:rsidRPr="00831397">
        <w:rPr>
          <w:lang w:val="en-US"/>
        </w:rPr>
        <w:t xml:space="preserve">that the court exercises marginal control over the compliance of public authorities with Articles 2 and 8 of the ECHR and the standard of conduct imposed by Article 1382 of the Civil Code; and </w:t>
      </w:r>
    </w:p>
    <w:p w14:paraId="5613689D" w14:textId="77777777" w:rsidR="004A3CD3" w:rsidRPr="00831397" w:rsidRDefault="006C0598">
      <w:pPr>
        <w:numPr>
          <w:ilvl w:val="1"/>
          <w:numId w:val="8"/>
        </w:numPr>
        <w:spacing w:after="7" w:line="248" w:lineRule="auto"/>
        <w:ind w:right="794" w:hanging="360"/>
        <w:rPr>
          <w:lang w:val="en-US"/>
        </w:rPr>
      </w:pPr>
      <w:r w:rsidRPr="00831397">
        <w:rPr>
          <w:lang w:val="en-US"/>
        </w:rPr>
        <w:t xml:space="preserve">that mitigation and adaptation are two adequate responses to global warming and that a concentration of 450ppm of GHGs cannot be exceeded before 2100. </w:t>
      </w:r>
    </w:p>
    <w:p w14:paraId="41A13BE8" w14:textId="77777777" w:rsidR="00E933CB" w:rsidRPr="00831397" w:rsidRDefault="00825B93">
      <w:pPr>
        <w:spacing w:after="0" w:line="259" w:lineRule="auto"/>
        <w:ind w:left="464" w:right="0" w:firstLine="0"/>
        <w:jc w:val="left"/>
        <w:rPr>
          <w:lang w:val="en-US"/>
        </w:rPr>
      </w:pPr>
      <w:r w:rsidRPr="00831397">
        <w:rPr>
          <w:lang w:val="en-US"/>
        </w:rPr>
        <w:t xml:space="preserve"> </w:t>
      </w:r>
      <w:r w:rsidRPr="00831397">
        <w:rPr>
          <w:lang w:val="en-US"/>
        </w:rPr>
        <w:tab/>
        <w:t xml:space="preserve"> </w:t>
      </w:r>
      <w:r w:rsidRPr="00831397">
        <w:rPr>
          <w:lang w:val="en-US"/>
        </w:rPr>
        <w:br w:type="page"/>
      </w:r>
    </w:p>
    <w:p w14:paraId="61840A32" w14:textId="77777777" w:rsidR="00E933CB" w:rsidRPr="00831397" w:rsidRDefault="00825B93">
      <w:pPr>
        <w:spacing w:after="256" w:line="259" w:lineRule="auto"/>
        <w:ind w:left="464" w:right="0" w:firstLine="0"/>
        <w:jc w:val="left"/>
        <w:rPr>
          <w:lang w:val="en-US"/>
        </w:rPr>
      </w:pPr>
      <w:r w:rsidRPr="00831397">
        <w:rPr>
          <w:b/>
          <w:sz w:val="28"/>
          <w:lang w:val="en-US"/>
        </w:rPr>
        <w:lastRenderedPageBreak/>
        <w:t xml:space="preserve"> </w:t>
      </w:r>
    </w:p>
    <w:p w14:paraId="218814FB" w14:textId="77777777" w:rsidR="004A3CD3" w:rsidRPr="00831397" w:rsidRDefault="006C0598">
      <w:pPr>
        <w:tabs>
          <w:tab w:val="center" w:pos="352"/>
          <w:tab w:val="center" w:pos="3421"/>
        </w:tabs>
        <w:spacing w:after="203" w:line="249" w:lineRule="auto"/>
        <w:ind w:left="0" w:right="0" w:firstLine="0"/>
        <w:jc w:val="left"/>
        <w:rPr>
          <w:lang w:val="en-US"/>
        </w:rPr>
      </w:pPr>
      <w:r w:rsidRPr="00831397">
        <w:rPr>
          <w:lang w:val="en-US"/>
        </w:rPr>
        <w:tab/>
      </w:r>
      <w:r w:rsidRPr="00831397">
        <w:rPr>
          <w:b/>
          <w:sz w:val="28"/>
          <w:lang w:val="en-US"/>
        </w:rPr>
        <w:t xml:space="preserve">II. </w:t>
      </w:r>
      <w:r w:rsidRPr="00831397">
        <w:rPr>
          <w:rFonts w:ascii="Arial" w:eastAsia="Arial" w:hAnsi="Arial" w:cs="Arial"/>
          <w:b/>
          <w:sz w:val="28"/>
          <w:lang w:val="en-US"/>
        </w:rPr>
        <w:tab/>
      </w:r>
      <w:r w:rsidRPr="00831397">
        <w:rPr>
          <w:b/>
          <w:sz w:val="28"/>
          <w:u w:val="single" w:color="000000"/>
          <w:lang w:val="en-US"/>
        </w:rPr>
        <w:t xml:space="preserve">Statement of basic facts: part one </w:t>
      </w:r>
    </w:p>
    <w:p w14:paraId="7C999B79" w14:textId="77777777" w:rsidR="004A3CD3" w:rsidRPr="00831397" w:rsidRDefault="006C0598">
      <w:pPr>
        <w:spacing w:after="203" w:line="249" w:lineRule="auto"/>
        <w:ind w:left="1040" w:right="0" w:hanging="10"/>
        <w:jc w:val="left"/>
        <w:rPr>
          <w:lang w:val="en-US"/>
        </w:rPr>
      </w:pPr>
      <w:r w:rsidRPr="00831397">
        <w:rPr>
          <w:b/>
          <w:sz w:val="28"/>
          <w:u w:val="single" w:color="000000"/>
          <w:lang w:val="en-US"/>
        </w:rPr>
        <w:t xml:space="preserve">Global warming: the inadequacy and insufficiency of the binding obligations imposed on Belgium by 2020  </w:t>
      </w:r>
    </w:p>
    <w:p w14:paraId="2BEE7D4D" w14:textId="77777777" w:rsidR="004A3CD3" w:rsidRPr="00831397" w:rsidRDefault="006C0598">
      <w:pPr>
        <w:numPr>
          <w:ilvl w:val="0"/>
          <w:numId w:val="9"/>
        </w:numPr>
        <w:spacing w:after="267"/>
        <w:ind w:right="794" w:hanging="566"/>
        <w:rPr>
          <w:lang w:val="en-US"/>
        </w:rPr>
      </w:pPr>
      <w:r w:rsidRPr="00831397">
        <w:rPr>
          <w:lang w:val="en-US"/>
        </w:rPr>
        <w:t xml:space="preserve">This first part of the presentation of the essential facts of the case focuses, firstly, on the red thread of scientific knowledge (1) of the danger posed by global warming and (2) of the measures to be taken to prevent or limit it. This scientific knowledge, which is an undisputed and unquestioned reference within the international community, has played a major role in the development of policies to combat global warming. A statement of this scientific knowledge is crucial since it forms the basis of the standard of care that is imposed on the Respondents.  </w:t>
      </w:r>
    </w:p>
    <w:p w14:paraId="7749AEB0" w14:textId="77777777" w:rsidR="004A3CD3" w:rsidRPr="00831397" w:rsidRDefault="006C0598">
      <w:pPr>
        <w:numPr>
          <w:ilvl w:val="0"/>
          <w:numId w:val="9"/>
        </w:numPr>
        <w:spacing w:after="267"/>
        <w:ind w:right="794" w:hanging="566"/>
        <w:rPr>
          <w:lang w:val="en-US"/>
        </w:rPr>
      </w:pPr>
      <w:r w:rsidRPr="00831397">
        <w:rPr>
          <w:lang w:val="en-US"/>
        </w:rPr>
        <w:t xml:space="preserve">Secondly, it will be shown that Belgium has explicitly recognised, on numerous occasions, the need to reduce GHG emissions by at least 25% to 40% by 2020 in order to avoid a global warming of 2°C. </w:t>
      </w:r>
    </w:p>
    <w:p w14:paraId="60BF8D39" w14:textId="77777777" w:rsidR="004A3CD3" w:rsidRPr="00831397" w:rsidRDefault="006C0598">
      <w:pPr>
        <w:numPr>
          <w:ilvl w:val="0"/>
          <w:numId w:val="9"/>
        </w:numPr>
        <w:spacing w:after="267"/>
        <w:ind w:right="794" w:hanging="566"/>
        <w:rPr>
          <w:lang w:val="en-US"/>
        </w:rPr>
      </w:pPr>
      <w:r w:rsidRPr="00831397">
        <w:rPr>
          <w:lang w:val="en-US"/>
        </w:rPr>
        <w:t xml:space="preserve">In the third part, the concluding remarks will put the norms of positive law (international and European) in their context, in order to highlight their total inadequacy and insufficiency with regard to scientific knowledge and the international consensus on this knowledge.  </w:t>
      </w:r>
    </w:p>
    <w:p w14:paraId="2F99A424" w14:textId="77777777" w:rsidR="004A3CD3" w:rsidRPr="00831397" w:rsidRDefault="006C0598">
      <w:pPr>
        <w:numPr>
          <w:ilvl w:val="0"/>
          <w:numId w:val="9"/>
        </w:numPr>
        <w:spacing w:after="298"/>
        <w:ind w:right="794" w:hanging="566"/>
        <w:rPr>
          <w:lang w:val="en-US"/>
        </w:rPr>
      </w:pPr>
      <w:r w:rsidRPr="00831397">
        <w:rPr>
          <w:lang w:val="en-US"/>
        </w:rPr>
        <w:t>For the rest, the Respondents refer to the chronological statement of facts established by the Court of First Instance, on pages 6 to 42 of the judgment under appeal, with the exception of the points contradicted in the objections. The Respondents also refer to the statement of facts contained in their summary submissions of 16 December 2019, which they attach as an exhibit to this application</w:t>
      </w:r>
      <w:r>
        <w:rPr>
          <w:sz w:val="20"/>
          <w:vertAlign w:val="superscript"/>
        </w:rPr>
        <w:footnoteReference w:id="3"/>
      </w:r>
      <w:r w:rsidRPr="00831397">
        <w:rPr>
          <w:lang w:val="en-US"/>
        </w:rPr>
        <w:t xml:space="preserve">, specifically at pages 27 to 182, nos. 25 to 337. </w:t>
      </w:r>
    </w:p>
    <w:p w14:paraId="343ACA27" w14:textId="77777777" w:rsidR="004A3CD3" w:rsidRPr="00831397" w:rsidRDefault="006C0598">
      <w:pPr>
        <w:spacing w:after="243" w:line="250" w:lineRule="auto"/>
        <w:ind w:left="1025" w:right="787" w:hanging="562"/>
        <w:rPr>
          <w:lang w:val="en-US"/>
        </w:rPr>
      </w:pPr>
      <w:r>
        <w:rPr>
          <w:noProof/>
        </w:rPr>
        <w:drawing>
          <wp:inline distT="0" distB="0" distL="0" distR="0" wp14:anchorId="040E3C8F" wp14:editId="3135EB41">
            <wp:extent cx="177546" cy="104394"/>
            <wp:effectExtent l="0" t="0" r="0" b="0"/>
            <wp:docPr id="1481" name="Picture 1481"/>
            <wp:cNvGraphicFramePr/>
            <a:graphic xmlns:a="http://schemas.openxmlformats.org/drawingml/2006/main">
              <a:graphicData uri="http://schemas.openxmlformats.org/drawingml/2006/picture">
                <pic:pic xmlns:pic="http://schemas.openxmlformats.org/drawingml/2006/picture">
                  <pic:nvPicPr>
                    <pic:cNvPr id="1481" name="Picture 1481"/>
                    <pic:cNvPicPr/>
                  </pic:nvPicPr>
                  <pic:blipFill>
                    <a:blip r:embed="rId14"/>
                    <a:stretch>
                      <a:fillRect/>
                    </a:stretch>
                  </pic:blipFill>
                  <pic:spPr>
                    <a:xfrm>
                      <a:off x="0" y="0"/>
                      <a:ext cx="177546" cy="104394"/>
                    </a:xfrm>
                    <a:prstGeom prst="rect">
                      <a:avLst/>
                    </a:prstGeom>
                  </pic:spPr>
                </pic:pic>
              </a:graphicData>
            </a:graphic>
          </wp:inline>
        </w:drawing>
      </w:r>
      <w:r w:rsidRPr="00831397">
        <w:rPr>
          <w:b/>
          <w:sz w:val="24"/>
          <w:u w:val="single" w:color="000000"/>
          <w:lang w:val="en-US"/>
        </w:rPr>
        <w:t xml:space="preserve"> The common thread: knowledge of the danger and the measures to be taken to prevent it or </w:t>
      </w:r>
    </w:p>
    <w:p w14:paraId="4E6A022C" w14:textId="77777777" w:rsidR="004A3CD3" w:rsidRPr="00831397" w:rsidRDefault="006C0598">
      <w:pPr>
        <w:spacing w:after="243" w:line="250" w:lineRule="auto"/>
        <w:ind w:left="1025" w:right="787" w:hanging="562"/>
        <w:rPr>
          <w:lang w:val="en-US"/>
        </w:rPr>
      </w:pPr>
      <w:r w:rsidRPr="00831397">
        <w:rPr>
          <w:b/>
          <w:sz w:val="24"/>
          <w:u w:val="single" w:color="000000"/>
          <w:lang w:val="en-US"/>
        </w:rPr>
        <w:t xml:space="preserve">limit it </w:t>
      </w:r>
    </w:p>
    <w:p w14:paraId="53E2412D" w14:textId="77777777" w:rsidR="004A3CD3" w:rsidRPr="00831397" w:rsidRDefault="006C0598">
      <w:pPr>
        <w:spacing w:after="262" w:line="249" w:lineRule="auto"/>
        <w:ind w:left="1015" w:right="789" w:hanging="566"/>
        <w:rPr>
          <w:lang w:val="en-US"/>
        </w:rPr>
      </w:pPr>
      <w:r w:rsidRPr="00831397">
        <w:rPr>
          <w:b/>
          <w:lang w:val="en-US"/>
        </w:rPr>
        <w:t xml:space="preserve">II.1.1 </w:t>
      </w:r>
      <w:r w:rsidRPr="00831397">
        <w:rPr>
          <w:b/>
          <w:u w:val="single" w:color="000000"/>
          <w:lang w:val="en-US"/>
        </w:rPr>
        <w:t xml:space="preserve">The IPCC as an indisputable scientific reference, recognised by the international community </w:t>
      </w:r>
    </w:p>
    <w:p w14:paraId="29EB4A78" w14:textId="77777777" w:rsidR="004A3CD3" w:rsidRDefault="006C0598">
      <w:pPr>
        <w:tabs>
          <w:tab w:val="center" w:pos="560"/>
          <w:tab w:val="center" w:pos="1367"/>
        </w:tabs>
        <w:spacing w:after="264" w:line="248" w:lineRule="auto"/>
        <w:ind w:left="0" w:right="0" w:firstLine="0"/>
        <w:jc w:val="left"/>
      </w:pPr>
      <w:r w:rsidRPr="00831397">
        <w:rPr>
          <w:lang w:val="en-US"/>
        </w:rPr>
        <w:tab/>
      </w:r>
      <w:r>
        <w:rPr>
          <w:b/>
          <w:i/>
        </w:rPr>
        <w:t xml:space="preserve">A. </w:t>
      </w:r>
      <w:r>
        <w:rPr>
          <w:rFonts w:ascii="Arial" w:eastAsia="Arial" w:hAnsi="Arial" w:cs="Arial"/>
          <w:b/>
          <w:i/>
        </w:rPr>
        <w:tab/>
      </w:r>
      <w:r>
        <w:rPr>
          <w:b/>
          <w:i/>
          <w:u w:val="single" w:color="000000"/>
        </w:rPr>
        <w:t xml:space="preserve">The IPCC </w:t>
      </w:r>
    </w:p>
    <w:p w14:paraId="42949F62" w14:textId="77777777" w:rsidR="004A3CD3" w:rsidRPr="00831397" w:rsidRDefault="006C0598">
      <w:pPr>
        <w:numPr>
          <w:ilvl w:val="0"/>
          <w:numId w:val="9"/>
        </w:numPr>
        <w:spacing w:after="261"/>
        <w:ind w:right="794" w:hanging="566"/>
        <w:rPr>
          <w:lang w:val="en-US"/>
        </w:rPr>
      </w:pPr>
      <w:r w:rsidRPr="00831397">
        <w:rPr>
          <w:lang w:val="en-US"/>
        </w:rPr>
        <w:t>The Intergovernmental Panel on Climate Change (</w:t>
      </w:r>
      <w:r w:rsidRPr="00831397">
        <w:rPr>
          <w:u w:val="single" w:color="000000"/>
          <w:lang w:val="en-US"/>
        </w:rPr>
        <w:t xml:space="preserve">IPCC) is an </w:t>
      </w:r>
      <w:r w:rsidRPr="00831397">
        <w:rPr>
          <w:lang w:val="en-US"/>
        </w:rPr>
        <w:t>intergovernmental organization established in 1988 by the World Meteorological Organization (</w:t>
      </w:r>
      <w:r w:rsidRPr="00831397">
        <w:rPr>
          <w:u w:val="single" w:color="000000"/>
          <w:lang w:val="en-US"/>
        </w:rPr>
        <w:t xml:space="preserve">WMO) </w:t>
      </w:r>
      <w:r w:rsidRPr="00831397">
        <w:rPr>
          <w:lang w:val="en-US"/>
        </w:rPr>
        <w:t>and the United Nations Environment Programme (</w:t>
      </w:r>
      <w:r w:rsidRPr="00831397">
        <w:rPr>
          <w:u w:val="single" w:color="000000"/>
          <w:lang w:val="en-US"/>
        </w:rPr>
        <w:t>UNEP</w:t>
      </w:r>
      <w:r w:rsidRPr="00831397">
        <w:rPr>
          <w:lang w:val="en-US"/>
        </w:rPr>
        <w:t>)</w:t>
      </w:r>
      <w:r>
        <w:rPr>
          <w:sz w:val="20"/>
          <w:vertAlign w:val="superscript"/>
        </w:rPr>
        <w:footnoteReference w:id="4"/>
      </w:r>
      <w:r w:rsidRPr="00831397">
        <w:rPr>
          <w:lang w:val="en-US"/>
        </w:rPr>
        <w:t xml:space="preserve">, which reviews and assesses the latest scientific, technical and socio-economic data from around the world relevant to understanding climate change.  </w:t>
      </w:r>
    </w:p>
    <w:p w14:paraId="5AB33882" w14:textId="77777777" w:rsidR="004A3CD3" w:rsidRPr="00831397" w:rsidRDefault="006C0598">
      <w:pPr>
        <w:numPr>
          <w:ilvl w:val="0"/>
          <w:numId w:val="9"/>
        </w:numPr>
        <w:ind w:right="794" w:hanging="566"/>
        <w:rPr>
          <w:lang w:val="en-US"/>
        </w:rPr>
      </w:pPr>
      <w:r w:rsidRPr="00831397">
        <w:rPr>
          <w:lang w:val="en-US"/>
        </w:rPr>
        <w:t xml:space="preserve">The IPCC is open to all Member countries of the United Nations and the WMO, and currently has 195 Member countries, including Belgium. It meets at least once a year in plenary sessions at which governments are represented and at which major decisions on the organization's </w:t>
      </w:r>
      <w:r w:rsidRPr="00831397">
        <w:rPr>
          <w:lang w:val="en-US"/>
        </w:rPr>
        <w:lastRenderedPageBreak/>
        <w:t>work programme are taken, and the members and chair of the Bureau are elected</w:t>
      </w:r>
      <w:r>
        <w:rPr>
          <w:sz w:val="20"/>
          <w:vertAlign w:val="superscript"/>
        </w:rPr>
        <w:footnoteReference w:id="5"/>
      </w:r>
      <w:r w:rsidRPr="00831397">
        <w:rPr>
          <w:lang w:val="en-US"/>
        </w:rPr>
        <w:t xml:space="preserve">. Government representatives also participate in the outline of the reports that the IPCC prepares, in the appointment of authors of these reports and in the review process of reports under preparation, and they accept, adopt and approve the reports at plenary sessions.  </w:t>
      </w:r>
    </w:p>
    <w:p w14:paraId="288BBF20" w14:textId="77777777" w:rsidR="004A3CD3" w:rsidRPr="00831397" w:rsidRDefault="006C0598">
      <w:pPr>
        <w:ind w:left="1015" w:right="794"/>
        <w:rPr>
          <w:lang w:val="en-US"/>
        </w:rPr>
      </w:pPr>
      <w:r w:rsidRPr="00831397">
        <w:rPr>
          <w:lang w:val="en-US"/>
        </w:rPr>
        <w:t>The importance of the role of government representatives is reflected in a document entitled "Principles for the Work of the IPCC"</w:t>
      </w:r>
      <w:r>
        <w:rPr>
          <w:sz w:val="20"/>
          <w:vertAlign w:val="superscript"/>
        </w:rPr>
        <w:footnoteReference w:id="6"/>
      </w:r>
      <w:r w:rsidRPr="00831397">
        <w:rPr>
          <w:lang w:val="en-US"/>
        </w:rPr>
        <w:t xml:space="preserve">, which includes the following principles. </w:t>
      </w:r>
    </w:p>
    <w:p w14:paraId="142FF7AF" w14:textId="77777777" w:rsidR="004A3CD3" w:rsidRPr="00831397" w:rsidRDefault="006C0598">
      <w:pPr>
        <w:ind w:left="1015" w:right="794"/>
        <w:rPr>
          <w:lang w:val="en-US"/>
        </w:rPr>
      </w:pPr>
      <w:r w:rsidRPr="00831397">
        <w:rPr>
          <w:lang w:val="en-US"/>
        </w:rPr>
        <w:t>Principle 3</w:t>
      </w:r>
      <w:r w:rsidRPr="00831397">
        <w:rPr>
          <w:vertAlign w:val="superscript"/>
          <w:lang w:val="en-US"/>
        </w:rPr>
        <w:t>e</w:t>
      </w:r>
      <w:r w:rsidRPr="00831397">
        <w:rPr>
          <w:lang w:val="en-US"/>
        </w:rPr>
        <w:t xml:space="preserve"> provides as follows: </w:t>
      </w:r>
    </w:p>
    <w:p w14:paraId="0F3DABE0" w14:textId="77777777" w:rsidR="004A3CD3" w:rsidRPr="00831397" w:rsidRDefault="006C0598">
      <w:pPr>
        <w:ind w:left="1591" w:right="792" w:hanging="10"/>
        <w:rPr>
          <w:lang w:val="en-US"/>
        </w:rPr>
      </w:pPr>
      <w:r w:rsidRPr="00831397">
        <w:rPr>
          <w:i/>
          <w:lang w:val="en-US"/>
        </w:rPr>
        <w:t>"The review process is of paramount importance to the work of the IPCC. As the Panel is an intergovernmental body, its documents must be subject to scientific peer review and government review</w:t>
      </w:r>
      <w:r w:rsidRPr="00831397">
        <w:rPr>
          <w:lang w:val="en-US"/>
        </w:rPr>
        <w:t xml:space="preserve">. </w:t>
      </w:r>
    </w:p>
    <w:p w14:paraId="4BF765CC" w14:textId="77777777" w:rsidR="004A3CD3" w:rsidRPr="00831397" w:rsidRDefault="006C0598">
      <w:pPr>
        <w:spacing w:after="4" w:line="359" w:lineRule="auto"/>
        <w:ind w:left="1015" w:right="794"/>
        <w:rPr>
          <w:lang w:val="en-US"/>
        </w:rPr>
      </w:pPr>
      <w:r w:rsidRPr="00831397">
        <w:rPr>
          <w:lang w:val="en-US"/>
        </w:rPr>
        <w:t>Principle 4</w:t>
      </w:r>
      <w:r w:rsidRPr="00831397">
        <w:rPr>
          <w:vertAlign w:val="superscript"/>
          <w:lang w:val="en-US"/>
        </w:rPr>
        <w:t>e</w:t>
      </w:r>
      <w:r w:rsidRPr="00831397">
        <w:rPr>
          <w:lang w:val="en-US"/>
        </w:rPr>
        <w:t xml:space="preserve"> dictates that major decisions of the IPCC are taken at plenary meetings. Principle 11</w:t>
      </w:r>
      <w:r w:rsidRPr="00831397">
        <w:rPr>
          <w:vertAlign w:val="superscript"/>
          <w:lang w:val="en-US"/>
        </w:rPr>
        <w:t>e</w:t>
      </w:r>
      <w:r w:rsidRPr="00831397">
        <w:rPr>
          <w:lang w:val="en-US"/>
        </w:rPr>
        <w:t xml:space="preserve">further states that:  </w:t>
      </w:r>
    </w:p>
    <w:p w14:paraId="6D093081" w14:textId="77777777" w:rsidR="004A3CD3" w:rsidRPr="00831397" w:rsidRDefault="006C0598">
      <w:pPr>
        <w:spacing w:after="286"/>
        <w:ind w:left="1591" w:right="792" w:hanging="10"/>
        <w:rPr>
          <w:lang w:val="en-US"/>
        </w:rPr>
      </w:pPr>
      <w:r w:rsidRPr="00831397">
        <w:rPr>
          <w:i/>
          <w:lang w:val="en-US"/>
        </w:rPr>
        <w:t>"Until accepted by the full Panel, the conclusions reached by the IPCC working groups and any task forces do not represent the official view of the IPCC</w:t>
      </w:r>
      <w:r w:rsidRPr="00831397">
        <w:rPr>
          <w:lang w:val="en-US"/>
        </w:rPr>
        <w:t xml:space="preserve">. </w:t>
      </w:r>
      <w:r w:rsidRPr="00831397">
        <w:rPr>
          <w:vertAlign w:val="superscript"/>
          <w:lang w:val="en-US"/>
        </w:rPr>
        <w:t xml:space="preserve"> </w:t>
      </w:r>
    </w:p>
    <w:p w14:paraId="1496A633" w14:textId="77777777" w:rsidR="004A3CD3" w:rsidRPr="00831397" w:rsidRDefault="006C0598">
      <w:pPr>
        <w:numPr>
          <w:ilvl w:val="0"/>
          <w:numId w:val="10"/>
        </w:numPr>
        <w:spacing w:after="265"/>
        <w:ind w:right="794" w:hanging="566"/>
        <w:rPr>
          <w:lang w:val="en-US"/>
        </w:rPr>
      </w:pPr>
      <w:r w:rsidRPr="00831397">
        <w:rPr>
          <w:lang w:val="en-US"/>
        </w:rPr>
        <w:t>The IPCC calls itself "</w:t>
      </w:r>
      <w:r w:rsidRPr="00831397">
        <w:rPr>
          <w:i/>
          <w:lang w:val="en-US"/>
        </w:rPr>
        <w:t>the leading international body for assessing climate change</w:t>
      </w:r>
      <w:r w:rsidRPr="00831397">
        <w:rPr>
          <w:lang w:val="en-US"/>
        </w:rPr>
        <w:t>"</w:t>
      </w:r>
      <w:r>
        <w:rPr>
          <w:sz w:val="20"/>
          <w:vertAlign w:val="superscript"/>
        </w:rPr>
        <w:footnoteReference w:id="7"/>
      </w:r>
      <w:r w:rsidRPr="00831397">
        <w:rPr>
          <w:lang w:val="en-US"/>
        </w:rPr>
        <w:t xml:space="preserve">. </w:t>
      </w:r>
      <w:r w:rsidRPr="00831397">
        <w:rPr>
          <w:vertAlign w:val="superscript"/>
          <w:lang w:val="en-US"/>
        </w:rPr>
        <w:t xml:space="preserve"> </w:t>
      </w:r>
      <w:r w:rsidRPr="00831397">
        <w:rPr>
          <w:lang w:val="en-US"/>
        </w:rPr>
        <w:t xml:space="preserve">This status is confirmed in that the 195 Member countries take (or at least should take) the IPCC reports as a starting point for their climate policy and that the IPCC reports have a special place in the 1992 UNFCCC, which will be discussed below. </w:t>
      </w:r>
    </w:p>
    <w:p w14:paraId="7272A434" w14:textId="77777777" w:rsidR="004A3CD3" w:rsidRPr="00831397" w:rsidRDefault="006C0598">
      <w:pPr>
        <w:numPr>
          <w:ilvl w:val="0"/>
          <w:numId w:val="10"/>
        </w:numPr>
        <w:ind w:right="794" w:hanging="566"/>
        <w:rPr>
          <w:lang w:val="en-US"/>
        </w:rPr>
      </w:pPr>
      <w:r w:rsidRPr="00831397">
        <w:rPr>
          <w:lang w:val="en-US"/>
        </w:rPr>
        <w:t xml:space="preserve">The IPCC is therefore an </w:t>
      </w:r>
      <w:r w:rsidRPr="00831397">
        <w:rPr>
          <w:b/>
          <w:lang w:val="en-US"/>
        </w:rPr>
        <w:t>emanation of the States</w:t>
      </w:r>
      <w:r w:rsidRPr="00831397">
        <w:rPr>
          <w:lang w:val="en-US"/>
        </w:rPr>
        <w:t xml:space="preserve">. By subscribing to the IPCC reports, the governments of the Member States, including the Belgian State, recognise the legitimacy of their scientific content.   </w:t>
      </w:r>
    </w:p>
    <w:p w14:paraId="33124924" w14:textId="77777777" w:rsidR="004A3CD3" w:rsidRPr="00831397" w:rsidRDefault="006C0598">
      <w:pPr>
        <w:ind w:left="1015" w:right="794"/>
        <w:rPr>
          <w:lang w:val="en-US"/>
        </w:rPr>
      </w:pPr>
      <w:r w:rsidRPr="00831397">
        <w:rPr>
          <w:lang w:val="en-US"/>
        </w:rPr>
        <w:t xml:space="preserve">The IPCC reports for policy makers are the gold standard for global warming.  </w:t>
      </w:r>
    </w:p>
    <w:p w14:paraId="5F8CB36E" w14:textId="77777777" w:rsidR="004A3CD3" w:rsidRDefault="006C0598">
      <w:pPr>
        <w:tabs>
          <w:tab w:val="center" w:pos="556"/>
          <w:tab w:val="center" w:pos="1966"/>
        </w:tabs>
        <w:spacing w:after="264" w:line="248" w:lineRule="auto"/>
        <w:ind w:left="0" w:right="0" w:firstLine="0"/>
        <w:jc w:val="left"/>
      </w:pPr>
      <w:r w:rsidRPr="00831397">
        <w:rPr>
          <w:lang w:val="en-US"/>
        </w:rPr>
        <w:tab/>
      </w:r>
      <w:r>
        <w:rPr>
          <w:b/>
          <w:i/>
        </w:rPr>
        <w:t xml:space="preserve">B. </w:t>
      </w:r>
      <w:r>
        <w:rPr>
          <w:rFonts w:ascii="Arial" w:eastAsia="Arial" w:hAnsi="Arial" w:cs="Arial"/>
          <w:b/>
          <w:i/>
        </w:rPr>
        <w:tab/>
      </w:r>
      <w:r>
        <w:rPr>
          <w:b/>
          <w:i/>
          <w:u w:val="single" w:color="000000"/>
        </w:rPr>
        <w:t xml:space="preserve">The IPCC reports </w:t>
      </w:r>
    </w:p>
    <w:p w14:paraId="33CC7C7F" w14:textId="77777777" w:rsidR="004A3CD3" w:rsidRPr="00831397" w:rsidRDefault="006C0598">
      <w:pPr>
        <w:numPr>
          <w:ilvl w:val="0"/>
          <w:numId w:val="11"/>
        </w:numPr>
        <w:ind w:right="794" w:hanging="566"/>
        <w:rPr>
          <w:lang w:val="en-US"/>
        </w:rPr>
      </w:pPr>
      <w:r w:rsidRPr="00831397">
        <w:rPr>
          <w:lang w:val="en-US"/>
        </w:rPr>
        <w:t xml:space="preserve">Since 1990, the IPCC has issued five assessment reports, each consisting of four components, often referred to by the following acronyms:  </w:t>
      </w:r>
    </w:p>
    <w:p w14:paraId="46D0DF71" w14:textId="77777777" w:rsidR="004A3CD3" w:rsidRPr="00831397" w:rsidRDefault="006C0598">
      <w:pPr>
        <w:numPr>
          <w:ilvl w:val="1"/>
          <w:numId w:val="11"/>
        </w:numPr>
        <w:ind w:right="794" w:hanging="218"/>
        <w:rPr>
          <w:lang w:val="en-US"/>
        </w:rPr>
      </w:pPr>
      <w:r w:rsidRPr="00831397">
        <w:rPr>
          <w:u w:val="single" w:color="000000"/>
          <w:lang w:val="en-US"/>
        </w:rPr>
        <w:t xml:space="preserve">FAR </w:t>
      </w:r>
      <w:r w:rsidRPr="00831397">
        <w:rPr>
          <w:lang w:val="en-US"/>
        </w:rPr>
        <w:t xml:space="preserve">(First Assessment Report) for the first report (1990) </w:t>
      </w:r>
    </w:p>
    <w:p w14:paraId="5618BA95" w14:textId="77777777" w:rsidR="004A3CD3" w:rsidRPr="00831397" w:rsidRDefault="006C0598">
      <w:pPr>
        <w:numPr>
          <w:ilvl w:val="1"/>
          <w:numId w:val="11"/>
        </w:numPr>
        <w:ind w:right="794" w:hanging="218"/>
        <w:rPr>
          <w:lang w:val="en-US"/>
        </w:rPr>
      </w:pPr>
      <w:r w:rsidRPr="00831397">
        <w:rPr>
          <w:u w:val="single" w:color="000000"/>
          <w:lang w:val="en-US"/>
        </w:rPr>
        <w:t xml:space="preserve">SAR </w:t>
      </w:r>
      <w:r w:rsidRPr="00831397">
        <w:rPr>
          <w:lang w:val="en-US"/>
        </w:rPr>
        <w:t xml:space="preserve">(Second Assessment Report) for the second report (1995) </w:t>
      </w:r>
    </w:p>
    <w:p w14:paraId="0DBAB961" w14:textId="77777777" w:rsidR="004A3CD3" w:rsidRPr="00831397" w:rsidRDefault="006C0598">
      <w:pPr>
        <w:numPr>
          <w:ilvl w:val="1"/>
          <w:numId w:val="11"/>
        </w:numPr>
        <w:ind w:right="794" w:hanging="218"/>
        <w:rPr>
          <w:lang w:val="en-US"/>
        </w:rPr>
      </w:pPr>
      <w:r w:rsidRPr="00831397">
        <w:rPr>
          <w:u w:val="single" w:color="000000"/>
          <w:lang w:val="en-US"/>
        </w:rPr>
        <w:t xml:space="preserve">TAR </w:t>
      </w:r>
      <w:r w:rsidRPr="00831397">
        <w:rPr>
          <w:lang w:val="en-US"/>
        </w:rPr>
        <w:t xml:space="preserve">(Third Assessment Report) for the third report (2001) </w:t>
      </w:r>
    </w:p>
    <w:p w14:paraId="4F666A25" w14:textId="77777777" w:rsidR="004A3CD3" w:rsidRPr="00831397" w:rsidRDefault="006C0598">
      <w:pPr>
        <w:numPr>
          <w:ilvl w:val="1"/>
          <w:numId w:val="11"/>
        </w:numPr>
        <w:ind w:right="794" w:hanging="218"/>
        <w:rPr>
          <w:lang w:val="en-US"/>
        </w:rPr>
      </w:pPr>
      <w:r w:rsidRPr="00831397">
        <w:rPr>
          <w:u w:val="single" w:color="000000"/>
          <w:lang w:val="en-US"/>
        </w:rPr>
        <w:t xml:space="preserve">AR4 </w:t>
      </w:r>
      <w:r w:rsidRPr="00831397">
        <w:rPr>
          <w:lang w:val="en-US"/>
        </w:rPr>
        <w:t xml:space="preserve">(4th Assessment Report) for the fourth report (2007) </w:t>
      </w:r>
    </w:p>
    <w:p w14:paraId="2702F837" w14:textId="77777777" w:rsidR="004A3CD3" w:rsidRPr="00831397" w:rsidRDefault="006C0598">
      <w:pPr>
        <w:numPr>
          <w:ilvl w:val="1"/>
          <w:numId w:val="11"/>
        </w:numPr>
        <w:ind w:right="794" w:hanging="218"/>
        <w:rPr>
          <w:lang w:val="en-US"/>
        </w:rPr>
      </w:pPr>
      <w:r w:rsidRPr="00831397">
        <w:rPr>
          <w:u w:val="single" w:color="000000"/>
          <w:lang w:val="en-US"/>
        </w:rPr>
        <w:t xml:space="preserve">AR5 </w:t>
      </w:r>
      <w:r w:rsidRPr="00831397">
        <w:rPr>
          <w:lang w:val="en-US"/>
        </w:rPr>
        <w:t xml:space="preserve">(5th Assessment Report) for the fifth report (2014) </w:t>
      </w:r>
    </w:p>
    <w:p w14:paraId="37F9299A" w14:textId="77777777" w:rsidR="004A3CD3" w:rsidRPr="00831397" w:rsidRDefault="006C0598">
      <w:pPr>
        <w:spacing w:after="250"/>
        <w:ind w:left="1015" w:right="794"/>
        <w:rPr>
          <w:lang w:val="en-US"/>
        </w:rPr>
      </w:pPr>
      <w:r w:rsidRPr="00831397">
        <w:rPr>
          <w:lang w:val="en-US"/>
        </w:rPr>
        <w:lastRenderedPageBreak/>
        <w:t xml:space="preserve">Regarding the </w:t>
      </w:r>
      <w:r w:rsidRPr="00831397">
        <w:rPr>
          <w:u w:val="single" w:color="000000"/>
          <w:lang w:val="en-US"/>
        </w:rPr>
        <w:t xml:space="preserve">AR6 </w:t>
      </w:r>
      <w:r w:rsidRPr="00831397">
        <w:rPr>
          <w:lang w:val="en-US"/>
        </w:rPr>
        <w:t>(6th Assessment Report), the first part (WG I report</w:t>
      </w:r>
      <w:r>
        <w:rPr>
          <w:sz w:val="20"/>
          <w:vertAlign w:val="superscript"/>
        </w:rPr>
        <w:footnoteReference w:id="8"/>
      </w:r>
      <w:r w:rsidRPr="00831397">
        <w:rPr>
          <w:lang w:val="en-US"/>
        </w:rPr>
        <w:t>) was published in August 2021, the other three parts are expected in 2022</w:t>
      </w:r>
      <w:r>
        <w:rPr>
          <w:sz w:val="20"/>
          <w:vertAlign w:val="superscript"/>
        </w:rPr>
        <w:footnoteReference w:id="9"/>
      </w:r>
      <w:r w:rsidRPr="00831397">
        <w:rPr>
          <w:lang w:val="en-US"/>
        </w:rPr>
        <w:t xml:space="preserve">. </w:t>
      </w:r>
    </w:p>
    <w:p w14:paraId="6CBDC7B1" w14:textId="77777777" w:rsidR="004A3CD3" w:rsidRPr="00831397" w:rsidRDefault="006C0598">
      <w:pPr>
        <w:spacing w:after="267"/>
        <w:ind w:left="1015" w:right="794"/>
        <w:rPr>
          <w:lang w:val="en-US"/>
        </w:rPr>
      </w:pPr>
      <w:r w:rsidRPr="00831397">
        <w:rPr>
          <w:lang w:val="en-US"/>
        </w:rPr>
        <w:t>In addition to these assessment reports, the IPCC also publishes thematic reports, known as special reports (</w:t>
      </w:r>
      <w:r w:rsidRPr="00831397">
        <w:rPr>
          <w:u w:val="single" w:color="000000"/>
          <w:lang w:val="en-US"/>
        </w:rPr>
        <w:t>SRs</w:t>
      </w:r>
      <w:r w:rsidRPr="00831397">
        <w:rPr>
          <w:lang w:val="en-US"/>
        </w:rPr>
        <w:t>). The October 2018 Special Report is particularly important. It focuses on the consequences of a global warming of 1.5°C</w:t>
      </w:r>
      <w:r>
        <w:rPr>
          <w:sz w:val="20"/>
          <w:vertAlign w:val="superscript"/>
        </w:rPr>
        <w:footnoteReference w:id="10"/>
      </w:r>
      <w:r w:rsidRPr="00831397">
        <w:rPr>
          <w:lang w:val="en-US"/>
        </w:rPr>
        <w:t>, highlighting the difference between a warming of 1.5°C and 2°C (</w:t>
      </w:r>
      <w:r w:rsidRPr="00831397">
        <w:rPr>
          <w:u w:val="single" w:color="000000"/>
          <w:lang w:val="en-US"/>
        </w:rPr>
        <w:t>SR 1.5°C</w:t>
      </w:r>
      <w:r w:rsidRPr="00831397">
        <w:rPr>
          <w:lang w:val="en-US"/>
        </w:rPr>
        <w:t xml:space="preserve">). </w:t>
      </w:r>
    </w:p>
    <w:p w14:paraId="47A2CDD5" w14:textId="77777777" w:rsidR="004A3CD3" w:rsidRPr="00831397" w:rsidRDefault="006C0598">
      <w:pPr>
        <w:numPr>
          <w:ilvl w:val="0"/>
          <w:numId w:val="11"/>
        </w:numPr>
        <w:ind w:right="794" w:hanging="566"/>
        <w:rPr>
          <w:lang w:val="en-US"/>
        </w:rPr>
      </w:pPr>
      <w:r w:rsidRPr="00831397">
        <w:rPr>
          <w:lang w:val="en-US"/>
        </w:rPr>
        <w:t xml:space="preserve">The IPCC reports are the </w:t>
      </w:r>
      <w:r w:rsidRPr="00831397">
        <w:rPr>
          <w:b/>
          <w:lang w:val="en-US"/>
        </w:rPr>
        <w:t xml:space="preserve">most comprehensive scientific reports </w:t>
      </w:r>
      <w:r w:rsidRPr="00831397">
        <w:rPr>
          <w:lang w:val="en-US"/>
        </w:rPr>
        <w:t xml:space="preserve">on global warming in the world.  </w:t>
      </w:r>
    </w:p>
    <w:p w14:paraId="4BBF3A06" w14:textId="77777777" w:rsidR="004A3CD3" w:rsidRPr="00831397" w:rsidRDefault="006C0598">
      <w:pPr>
        <w:ind w:left="1015" w:right="794"/>
        <w:rPr>
          <w:lang w:val="en-US"/>
        </w:rPr>
      </w:pPr>
      <w:r w:rsidRPr="00831397">
        <w:rPr>
          <w:lang w:val="en-US"/>
        </w:rPr>
        <w:t xml:space="preserve">Thousands of scientists from around the world contribute to the work of the IPCC on a voluntary basis as authors, contributors and reviewers. The author teams critically evaluate information for inclusion in the report, regardless of the source.  </w:t>
      </w:r>
    </w:p>
    <w:p w14:paraId="0221C343" w14:textId="77777777" w:rsidR="004A3CD3" w:rsidRPr="00831397" w:rsidRDefault="006C0598">
      <w:pPr>
        <w:ind w:left="1015" w:right="794"/>
        <w:rPr>
          <w:lang w:val="en-US"/>
        </w:rPr>
      </w:pPr>
      <w:r w:rsidRPr="00831397">
        <w:rPr>
          <w:lang w:val="en-US"/>
        </w:rPr>
        <w:t xml:space="preserve">The reports are drawn up according to a specific procedure, which respects a double adversarial principle.  </w:t>
      </w:r>
    </w:p>
    <w:p w14:paraId="644C94F7" w14:textId="77777777" w:rsidR="00E933CB" w:rsidRPr="00831397" w:rsidRDefault="00825B93">
      <w:pPr>
        <w:spacing w:after="98" w:line="259" w:lineRule="auto"/>
        <w:ind w:left="1030" w:right="0" w:firstLine="0"/>
        <w:jc w:val="left"/>
        <w:rPr>
          <w:lang w:val="en-US"/>
        </w:rPr>
      </w:pPr>
      <w:r w:rsidRPr="00831397">
        <w:rPr>
          <w:lang w:val="en-US"/>
        </w:rPr>
        <w:t xml:space="preserve"> </w:t>
      </w:r>
    </w:p>
    <w:p w14:paraId="68FBA757" w14:textId="77777777" w:rsidR="00E933CB" w:rsidRPr="00831397" w:rsidRDefault="00825B93">
      <w:pPr>
        <w:spacing w:after="98" w:line="259" w:lineRule="auto"/>
        <w:ind w:left="1030" w:right="0" w:firstLine="0"/>
        <w:jc w:val="left"/>
        <w:rPr>
          <w:lang w:val="en-US"/>
        </w:rPr>
      </w:pPr>
      <w:r w:rsidRPr="00831397">
        <w:rPr>
          <w:lang w:val="en-US"/>
        </w:rPr>
        <w:t xml:space="preserve"> </w:t>
      </w:r>
    </w:p>
    <w:p w14:paraId="194F9CC2" w14:textId="77777777" w:rsidR="00E933CB" w:rsidRPr="00831397" w:rsidRDefault="00825B93">
      <w:pPr>
        <w:spacing w:after="98" w:line="259" w:lineRule="auto"/>
        <w:ind w:left="1030" w:right="0" w:firstLine="0"/>
        <w:jc w:val="left"/>
        <w:rPr>
          <w:lang w:val="en-US"/>
        </w:rPr>
      </w:pPr>
      <w:r w:rsidRPr="00831397">
        <w:rPr>
          <w:lang w:val="en-US"/>
        </w:rPr>
        <w:t xml:space="preserve"> </w:t>
      </w:r>
    </w:p>
    <w:p w14:paraId="1E3D8463" w14:textId="77777777" w:rsidR="00E933CB" w:rsidRPr="00831397" w:rsidRDefault="00825B93">
      <w:pPr>
        <w:spacing w:after="98" w:line="259" w:lineRule="auto"/>
        <w:ind w:left="1030" w:right="0" w:firstLine="0"/>
        <w:jc w:val="left"/>
        <w:rPr>
          <w:lang w:val="en-US"/>
        </w:rPr>
      </w:pPr>
      <w:r w:rsidRPr="00831397">
        <w:rPr>
          <w:lang w:val="en-US"/>
        </w:rPr>
        <w:t xml:space="preserve"> </w:t>
      </w:r>
    </w:p>
    <w:p w14:paraId="390C8F80" w14:textId="77777777" w:rsidR="00E933CB" w:rsidRPr="00831397" w:rsidRDefault="00825B93">
      <w:pPr>
        <w:spacing w:after="95" w:line="259" w:lineRule="auto"/>
        <w:ind w:left="1030" w:right="0" w:firstLine="0"/>
        <w:jc w:val="left"/>
        <w:rPr>
          <w:lang w:val="en-US"/>
        </w:rPr>
      </w:pPr>
      <w:r w:rsidRPr="00831397">
        <w:rPr>
          <w:lang w:val="en-US"/>
        </w:rPr>
        <w:t xml:space="preserve"> </w:t>
      </w:r>
    </w:p>
    <w:p w14:paraId="31E9EA8E" w14:textId="77777777" w:rsidR="00E933CB" w:rsidRPr="00831397" w:rsidRDefault="00825B93">
      <w:pPr>
        <w:spacing w:after="98" w:line="259" w:lineRule="auto"/>
        <w:ind w:left="1030" w:right="0" w:firstLine="0"/>
        <w:jc w:val="left"/>
        <w:rPr>
          <w:lang w:val="en-US"/>
        </w:rPr>
      </w:pPr>
      <w:r w:rsidRPr="00831397">
        <w:rPr>
          <w:lang w:val="en-US"/>
        </w:rPr>
        <w:t xml:space="preserve"> </w:t>
      </w:r>
    </w:p>
    <w:p w14:paraId="75D8273E" w14:textId="77777777" w:rsidR="00E933CB" w:rsidRPr="00831397" w:rsidRDefault="00825B93">
      <w:pPr>
        <w:spacing w:after="98" w:line="259" w:lineRule="auto"/>
        <w:ind w:left="1030" w:right="0" w:firstLine="0"/>
        <w:jc w:val="left"/>
        <w:rPr>
          <w:lang w:val="en-US"/>
        </w:rPr>
      </w:pPr>
      <w:r w:rsidRPr="00831397">
        <w:rPr>
          <w:lang w:val="en-US"/>
        </w:rPr>
        <w:t xml:space="preserve"> </w:t>
      </w:r>
    </w:p>
    <w:p w14:paraId="006677AE" w14:textId="77777777" w:rsidR="00E933CB" w:rsidRPr="00831397" w:rsidRDefault="00825B93">
      <w:pPr>
        <w:spacing w:after="98" w:line="259" w:lineRule="auto"/>
        <w:ind w:left="1030" w:right="0" w:firstLine="0"/>
        <w:jc w:val="left"/>
        <w:rPr>
          <w:lang w:val="en-US"/>
        </w:rPr>
      </w:pPr>
      <w:r w:rsidRPr="00831397">
        <w:rPr>
          <w:lang w:val="en-US"/>
        </w:rPr>
        <w:t xml:space="preserve"> </w:t>
      </w:r>
    </w:p>
    <w:p w14:paraId="7609EEF4" w14:textId="77777777" w:rsidR="00E933CB" w:rsidRPr="00831397" w:rsidRDefault="00825B93">
      <w:pPr>
        <w:spacing w:after="98" w:line="259" w:lineRule="auto"/>
        <w:ind w:left="1030" w:right="0" w:firstLine="0"/>
        <w:jc w:val="left"/>
        <w:rPr>
          <w:lang w:val="en-US"/>
        </w:rPr>
      </w:pPr>
      <w:r w:rsidRPr="00831397">
        <w:rPr>
          <w:lang w:val="en-US"/>
        </w:rPr>
        <w:t xml:space="preserve"> </w:t>
      </w:r>
    </w:p>
    <w:p w14:paraId="7620EEF0" w14:textId="77777777" w:rsidR="00E933CB" w:rsidRPr="00831397" w:rsidRDefault="00825B93">
      <w:pPr>
        <w:spacing w:after="0" w:line="259" w:lineRule="auto"/>
        <w:ind w:left="1030" w:right="0" w:firstLine="0"/>
        <w:jc w:val="left"/>
        <w:rPr>
          <w:lang w:val="en-US"/>
        </w:rPr>
      </w:pPr>
      <w:r w:rsidRPr="00831397">
        <w:rPr>
          <w:lang w:val="en-US"/>
        </w:rPr>
        <w:t xml:space="preserve"> </w:t>
      </w:r>
    </w:p>
    <w:p w14:paraId="687B75C8" w14:textId="77777777" w:rsidR="004A3CD3" w:rsidRPr="00831397" w:rsidRDefault="006C0598">
      <w:pPr>
        <w:spacing w:after="66"/>
        <w:ind w:left="1015" w:right="794"/>
        <w:rPr>
          <w:lang w:val="en-US"/>
        </w:rPr>
      </w:pPr>
      <w:r w:rsidRPr="00831397">
        <w:rPr>
          <w:lang w:val="en-US"/>
        </w:rPr>
        <w:t xml:space="preserve">The procedure is described by the IPCC itself as follows:  </w:t>
      </w:r>
    </w:p>
    <w:p w14:paraId="63625897" w14:textId="77777777" w:rsidR="00E933CB" w:rsidRPr="00831397" w:rsidRDefault="00825B93">
      <w:pPr>
        <w:spacing w:after="38" w:line="259" w:lineRule="auto"/>
        <w:ind w:left="1030" w:right="0" w:firstLine="0"/>
        <w:jc w:val="left"/>
        <w:rPr>
          <w:lang w:val="en-US"/>
        </w:rPr>
      </w:pPr>
      <w:r w:rsidRPr="00831397">
        <w:rPr>
          <w:lang w:val="en-US"/>
        </w:rPr>
        <w:lastRenderedPageBreak/>
        <w:t xml:space="preserve"> </w:t>
      </w:r>
      <w:r>
        <w:rPr>
          <w:noProof/>
        </w:rPr>
        <w:drawing>
          <wp:inline distT="0" distB="0" distL="0" distR="0" wp14:anchorId="7C8EE404" wp14:editId="10CE71A1">
            <wp:extent cx="5210175" cy="6343650"/>
            <wp:effectExtent l="0" t="0" r="0" b="0"/>
            <wp:docPr id="2062" name="Picture 2062"/>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15"/>
                    <a:stretch>
                      <a:fillRect/>
                    </a:stretch>
                  </pic:blipFill>
                  <pic:spPr>
                    <a:xfrm>
                      <a:off x="0" y="0"/>
                      <a:ext cx="5210175" cy="6343650"/>
                    </a:xfrm>
                    <a:prstGeom prst="rect">
                      <a:avLst/>
                    </a:prstGeom>
                  </pic:spPr>
                </pic:pic>
              </a:graphicData>
            </a:graphic>
          </wp:inline>
        </w:drawing>
      </w:r>
      <w:r w:rsidRPr="00831397">
        <w:rPr>
          <w:lang w:val="en-US"/>
        </w:rPr>
        <w:t xml:space="preserve"> </w:t>
      </w:r>
    </w:p>
    <w:p w14:paraId="4EED7804" w14:textId="77777777" w:rsidR="00E933CB" w:rsidRPr="00831397" w:rsidRDefault="00825B93">
      <w:pPr>
        <w:spacing w:after="95" w:line="259" w:lineRule="auto"/>
        <w:ind w:left="1030" w:right="0" w:firstLine="0"/>
        <w:jc w:val="left"/>
        <w:rPr>
          <w:lang w:val="en-US"/>
        </w:rPr>
      </w:pPr>
      <w:r w:rsidRPr="00831397">
        <w:rPr>
          <w:lang w:val="en-US"/>
        </w:rPr>
        <w:t xml:space="preserve"> </w:t>
      </w:r>
    </w:p>
    <w:p w14:paraId="0721FF28" w14:textId="77777777" w:rsidR="004A3CD3" w:rsidRPr="00831397" w:rsidRDefault="006C0598">
      <w:pPr>
        <w:ind w:left="1015" w:right="794"/>
        <w:rPr>
          <w:lang w:val="en-US"/>
        </w:rPr>
      </w:pPr>
      <w:r w:rsidRPr="00831397">
        <w:rPr>
          <w:lang w:val="en-US"/>
        </w:rPr>
        <w:t xml:space="preserve">The preparation of an IPCC report begins with a scoping meeting at which experts nominated by governments and observer organizations draft a work plan. This plan must be approved by the Panel.   </w:t>
      </w:r>
    </w:p>
    <w:p w14:paraId="3E4662DF" w14:textId="77777777" w:rsidR="004A3CD3" w:rsidRPr="00831397" w:rsidRDefault="006C0598">
      <w:pPr>
        <w:ind w:left="1015" w:right="794"/>
        <w:rPr>
          <w:lang w:val="en-US"/>
        </w:rPr>
      </w:pPr>
      <w:r w:rsidRPr="00831397">
        <w:rPr>
          <w:lang w:val="en-US"/>
        </w:rPr>
        <w:t xml:space="preserve">The observer governments and organizations then nominate experts to author the report. The authors prepare a first draft of the report. This first draft is reviewed by external experts and results in a second draft. The second draft is submitted to governments and other experts for review.  </w:t>
      </w:r>
    </w:p>
    <w:p w14:paraId="2D4BC779" w14:textId="77777777" w:rsidR="004A3CD3" w:rsidRPr="00831397" w:rsidRDefault="006C0598">
      <w:pPr>
        <w:spacing w:line="248" w:lineRule="auto"/>
        <w:ind w:left="1040" w:right="791" w:hanging="10"/>
        <w:rPr>
          <w:lang w:val="en-US"/>
        </w:rPr>
      </w:pPr>
      <w:r w:rsidRPr="00831397">
        <w:rPr>
          <w:lang w:val="en-US"/>
        </w:rPr>
        <w:t xml:space="preserve">This gives member countries the opportunity to comment throughout the conceptualization phase of the report.  </w:t>
      </w:r>
    </w:p>
    <w:p w14:paraId="4F304B37" w14:textId="77777777" w:rsidR="004A3CD3" w:rsidRPr="00831397" w:rsidRDefault="006C0598">
      <w:pPr>
        <w:spacing w:after="264"/>
        <w:ind w:left="1015" w:right="794"/>
        <w:rPr>
          <w:lang w:val="en-US"/>
        </w:rPr>
      </w:pPr>
      <w:r w:rsidRPr="00831397">
        <w:rPr>
          <w:lang w:val="en-US"/>
        </w:rPr>
        <w:t>The IPCC analyses these observations and comments and adapts the report if necessary. The final report and the Summary for Policy Makers (</w:t>
      </w:r>
      <w:r w:rsidRPr="00831397">
        <w:rPr>
          <w:u w:val="single" w:color="000000"/>
          <w:lang w:val="en-US"/>
        </w:rPr>
        <w:t xml:space="preserve">SPM) </w:t>
      </w:r>
      <w:r w:rsidRPr="00831397">
        <w:rPr>
          <w:lang w:val="en-US"/>
        </w:rPr>
        <w:t xml:space="preserve">are sent to governments. Governments </w:t>
      </w:r>
      <w:r w:rsidRPr="00831397">
        <w:rPr>
          <w:lang w:val="en-US"/>
        </w:rPr>
        <w:lastRenderedPageBreak/>
        <w:t xml:space="preserve">review the final report and SPM for approval. It is only after this lengthy process that IPCC reports and their SPMs are approved.  </w:t>
      </w:r>
    </w:p>
    <w:p w14:paraId="0AC26A28" w14:textId="77777777" w:rsidR="004A3CD3" w:rsidRPr="00831397" w:rsidRDefault="006C0598">
      <w:pPr>
        <w:numPr>
          <w:ilvl w:val="0"/>
          <w:numId w:val="12"/>
        </w:numPr>
        <w:ind w:right="794" w:hanging="566"/>
        <w:rPr>
          <w:lang w:val="en-US"/>
        </w:rPr>
      </w:pPr>
      <w:r w:rsidRPr="00831397">
        <w:rPr>
          <w:lang w:val="en-US"/>
        </w:rPr>
        <w:t xml:space="preserve">The reports we use most frequently in this query are the 2007 </w:t>
      </w:r>
      <w:r>
        <w:rPr>
          <w:sz w:val="20"/>
          <w:vertAlign w:val="superscript"/>
        </w:rPr>
        <w:footnoteReference w:id="11"/>
      </w:r>
      <w:r w:rsidRPr="00831397">
        <w:rPr>
          <w:lang w:val="en-US"/>
        </w:rPr>
        <w:t xml:space="preserve">(AR4), 2014 </w:t>
      </w:r>
      <w:r>
        <w:rPr>
          <w:sz w:val="20"/>
          <w:vertAlign w:val="superscript"/>
        </w:rPr>
        <w:footnoteReference w:id="12"/>
      </w:r>
      <w:r w:rsidRPr="00831397">
        <w:rPr>
          <w:lang w:val="en-US"/>
        </w:rPr>
        <w:t xml:space="preserve">(AR5) and 2021 </w:t>
      </w:r>
      <w:r>
        <w:rPr>
          <w:sz w:val="20"/>
          <w:vertAlign w:val="superscript"/>
        </w:rPr>
        <w:footnoteReference w:id="13"/>
      </w:r>
      <w:r w:rsidRPr="00831397">
        <w:rPr>
          <w:lang w:val="en-US"/>
        </w:rPr>
        <w:t xml:space="preserve">(AR6.I) Assessment Reports and the October 2018 </w:t>
      </w:r>
      <w:r>
        <w:rPr>
          <w:sz w:val="20"/>
          <w:vertAlign w:val="superscript"/>
        </w:rPr>
        <w:footnoteReference w:id="14"/>
      </w:r>
      <w:r w:rsidRPr="00831397">
        <w:rPr>
          <w:lang w:val="en-US"/>
        </w:rPr>
        <w:t xml:space="preserve">Special Report (SR 1.5°C). </w:t>
      </w:r>
    </w:p>
    <w:p w14:paraId="5F6F2698" w14:textId="77777777" w:rsidR="004A3CD3" w:rsidRPr="00831397" w:rsidRDefault="006C0598">
      <w:pPr>
        <w:spacing w:after="265"/>
        <w:ind w:left="1015" w:right="794"/>
        <w:rPr>
          <w:lang w:val="en-US"/>
        </w:rPr>
      </w:pPr>
      <w:r w:rsidRPr="00831397">
        <w:rPr>
          <w:lang w:val="en-US"/>
        </w:rPr>
        <w:t>Like 194 other countries, Belgium is a member of the IPCC</w:t>
      </w:r>
      <w:r>
        <w:rPr>
          <w:sz w:val="20"/>
          <w:vertAlign w:val="superscript"/>
        </w:rPr>
        <w:footnoteReference w:id="15"/>
      </w:r>
      <w:r w:rsidRPr="00831397">
        <w:rPr>
          <w:lang w:val="en-US"/>
        </w:rPr>
        <w:t>. This means that since the preparation of the first report in 1990, it has been involved in the preparation of each report and in their approval in plenary session</w:t>
      </w:r>
      <w:r>
        <w:rPr>
          <w:sz w:val="20"/>
          <w:vertAlign w:val="superscript"/>
        </w:rPr>
        <w:footnoteReference w:id="16"/>
      </w:r>
      <w:r w:rsidRPr="00831397">
        <w:rPr>
          <w:lang w:val="en-US"/>
        </w:rPr>
        <w:t xml:space="preserve">. Since 1990, it has therefore been systematically kept abreast of developments in scientific, technical and socio-economic knowledge relating to climate change.    </w:t>
      </w:r>
    </w:p>
    <w:p w14:paraId="4628798C" w14:textId="77777777" w:rsidR="004A3CD3" w:rsidRPr="00831397" w:rsidRDefault="006C0598">
      <w:pPr>
        <w:numPr>
          <w:ilvl w:val="0"/>
          <w:numId w:val="12"/>
        </w:numPr>
        <w:spacing w:after="233"/>
        <w:ind w:right="794" w:hanging="566"/>
        <w:rPr>
          <w:lang w:val="en-US"/>
        </w:rPr>
      </w:pPr>
      <w:r w:rsidRPr="00831397">
        <w:rPr>
          <w:lang w:val="en-US"/>
        </w:rPr>
        <w:t xml:space="preserve">In conclusion, the IPCC reports represent </w:t>
      </w:r>
      <w:r w:rsidRPr="00831397">
        <w:rPr>
          <w:b/>
          <w:lang w:val="en-US"/>
        </w:rPr>
        <w:t xml:space="preserve">the best available science </w:t>
      </w:r>
      <w:r w:rsidRPr="00831397">
        <w:rPr>
          <w:lang w:val="en-US"/>
        </w:rPr>
        <w:t xml:space="preserve">at the global level. The specific process of preparation and approval of the IPCC reports makes them an unquestionable and undisputed scientific reference within the international community. In this case, </w:t>
      </w:r>
      <w:r w:rsidRPr="00831397">
        <w:rPr>
          <w:b/>
          <w:lang w:val="en-US"/>
        </w:rPr>
        <w:t>the science is not in dispute</w:t>
      </w:r>
      <w:r w:rsidRPr="00831397">
        <w:rPr>
          <w:lang w:val="en-US"/>
        </w:rPr>
        <w:t xml:space="preserve">. All States Parties to the UNFCCC share the same scientific data and recognize its authority in developing their policies to combat global warming. </w:t>
      </w:r>
    </w:p>
    <w:p w14:paraId="19CBD205" w14:textId="77777777" w:rsidR="004A3CD3" w:rsidRDefault="006C0598">
      <w:pPr>
        <w:spacing w:after="267" w:line="248" w:lineRule="auto"/>
        <w:ind w:left="1040" w:right="791" w:hanging="10"/>
      </w:pPr>
      <w:r w:rsidRPr="00831397">
        <w:rPr>
          <w:lang w:val="en-US"/>
        </w:rPr>
        <w:t xml:space="preserve">The above process ensures a </w:t>
      </w:r>
      <w:r w:rsidRPr="00831397">
        <w:rPr>
          <w:b/>
          <w:lang w:val="en-US"/>
        </w:rPr>
        <w:t xml:space="preserve">comprehensive, objective and transparent </w:t>
      </w:r>
      <w:r w:rsidRPr="00831397">
        <w:rPr>
          <w:lang w:val="en-US"/>
        </w:rPr>
        <w:t xml:space="preserve">assessment of the current state of scientific knowledge on global warming. </w:t>
      </w:r>
      <w:r>
        <w:t xml:space="preserve">The resulting reports are </w:t>
      </w:r>
      <w:r>
        <w:rPr>
          <w:b/>
        </w:rPr>
        <w:t>highly authoritative</w:t>
      </w:r>
      <w:r>
        <w:t xml:space="preserve">.  </w:t>
      </w:r>
    </w:p>
    <w:p w14:paraId="3B44BB58" w14:textId="77777777" w:rsidR="004A3CD3" w:rsidRPr="00831397" w:rsidRDefault="006C0598">
      <w:pPr>
        <w:numPr>
          <w:ilvl w:val="0"/>
          <w:numId w:val="12"/>
        </w:numPr>
        <w:spacing w:after="295" w:line="248" w:lineRule="auto"/>
        <w:ind w:right="794" w:hanging="566"/>
        <w:rPr>
          <w:lang w:val="en-US"/>
        </w:rPr>
      </w:pPr>
      <w:r w:rsidRPr="00831397">
        <w:rPr>
          <w:lang w:val="en-US"/>
        </w:rPr>
        <w:t xml:space="preserve">It should also be noted that, with regard to the process of preparing and approving the reports, they are systematically on the </w:t>
      </w:r>
      <w:r w:rsidRPr="00831397">
        <w:rPr>
          <w:b/>
          <w:lang w:val="en-US"/>
        </w:rPr>
        <w:t>"conservative" side</w:t>
      </w:r>
      <w:r w:rsidRPr="00831397">
        <w:rPr>
          <w:lang w:val="en-US"/>
        </w:rPr>
        <w:t xml:space="preserve">, given that certain countries producing harmful energy sources carry a great deal of weight in the above-mentioned process.  </w:t>
      </w:r>
      <w:r>
        <w:rPr>
          <w:sz w:val="20"/>
          <w:vertAlign w:val="superscript"/>
        </w:rPr>
        <w:footnoteReference w:id="17"/>
      </w:r>
    </w:p>
    <w:p w14:paraId="56D3FB48" w14:textId="77777777" w:rsidR="004A3CD3" w:rsidRPr="00831397" w:rsidRDefault="006C0598">
      <w:pPr>
        <w:spacing w:after="262" w:line="249" w:lineRule="auto"/>
        <w:ind w:left="459" w:right="789" w:hanging="10"/>
        <w:rPr>
          <w:lang w:val="en-US"/>
        </w:rPr>
      </w:pPr>
      <w:r w:rsidRPr="00831397">
        <w:rPr>
          <w:b/>
          <w:lang w:val="en-US"/>
        </w:rPr>
        <w:t xml:space="preserve">II.1.2 </w:t>
      </w:r>
      <w:r w:rsidRPr="00831397">
        <w:rPr>
          <w:b/>
          <w:u w:val="single" w:color="000000"/>
          <w:lang w:val="en-US"/>
        </w:rPr>
        <w:t xml:space="preserve">Global warming and CO </w:t>
      </w:r>
      <w:r w:rsidRPr="00831397">
        <w:rPr>
          <w:b/>
          <w:u w:val="single" w:color="000000"/>
          <w:vertAlign w:val="subscript"/>
          <w:lang w:val="en-US"/>
        </w:rPr>
        <w:t>2</w:t>
      </w:r>
    </w:p>
    <w:p w14:paraId="1D5BCA9B" w14:textId="77777777" w:rsidR="004A3CD3" w:rsidRPr="00831397" w:rsidRDefault="006C0598">
      <w:pPr>
        <w:numPr>
          <w:ilvl w:val="0"/>
          <w:numId w:val="12"/>
        </w:numPr>
        <w:ind w:right="794" w:hanging="566"/>
        <w:rPr>
          <w:lang w:val="en-US"/>
        </w:rPr>
      </w:pPr>
      <w:r w:rsidRPr="00831397">
        <w:rPr>
          <w:lang w:val="en-US"/>
        </w:rPr>
        <w:t xml:space="preserve">The respondents do not go back to basic facts such as the explanation of the greenhouse effect and the impact of anthropogenic greenhouse gas (GHG) emissions. These facts have not been disputed by the Respondents or by the judgment under appeal. </w:t>
      </w:r>
    </w:p>
    <w:p w14:paraId="657860CB" w14:textId="77777777" w:rsidR="004A3CD3" w:rsidRPr="00831397" w:rsidRDefault="006C0598">
      <w:pPr>
        <w:numPr>
          <w:ilvl w:val="0"/>
          <w:numId w:val="12"/>
        </w:numPr>
        <w:spacing w:after="266"/>
        <w:ind w:right="794" w:hanging="566"/>
        <w:rPr>
          <w:lang w:val="en-US"/>
        </w:rPr>
      </w:pPr>
      <w:r w:rsidRPr="00831397">
        <w:rPr>
          <w:lang w:val="en-US"/>
        </w:rPr>
        <w:t xml:space="preserve">To summarize, the warming of the earth that causes global warming is mainly caused by human use of fossil fuels. The scientific community agrees that anthropogenic GHG emissions are the main cause of global warming.  </w:t>
      </w:r>
    </w:p>
    <w:p w14:paraId="56262655" w14:textId="77777777" w:rsidR="004A3CD3" w:rsidRPr="00831397" w:rsidRDefault="006C0598">
      <w:pPr>
        <w:tabs>
          <w:tab w:val="center" w:pos="560"/>
          <w:tab w:val="center" w:pos="3362"/>
        </w:tabs>
        <w:spacing w:after="264" w:line="248" w:lineRule="auto"/>
        <w:ind w:left="0" w:right="0" w:firstLine="0"/>
        <w:jc w:val="left"/>
        <w:rPr>
          <w:lang w:val="en-US"/>
        </w:rPr>
      </w:pPr>
      <w:r w:rsidRPr="00831397">
        <w:rPr>
          <w:lang w:val="en-US"/>
        </w:rPr>
        <w:tab/>
      </w:r>
      <w:r w:rsidRPr="00831397">
        <w:rPr>
          <w:b/>
          <w:i/>
          <w:lang w:val="en-US"/>
        </w:rPr>
        <w:t xml:space="preserve">A. </w:t>
      </w:r>
      <w:r w:rsidRPr="00831397">
        <w:rPr>
          <w:rFonts w:ascii="Arial" w:eastAsia="Arial" w:hAnsi="Arial" w:cs="Arial"/>
          <w:b/>
          <w:i/>
          <w:lang w:val="en-US"/>
        </w:rPr>
        <w:tab/>
      </w:r>
      <w:r w:rsidRPr="00831397">
        <w:rPr>
          <w:b/>
          <w:i/>
          <w:u w:val="single" w:color="000000"/>
          <w:lang w:val="en-US"/>
        </w:rPr>
        <w:t xml:space="preserve">The anthropogenic origin of global warming </w:t>
      </w:r>
    </w:p>
    <w:p w14:paraId="10997BE0" w14:textId="77777777" w:rsidR="004A3CD3" w:rsidRPr="00831397" w:rsidRDefault="006C0598">
      <w:pPr>
        <w:ind w:left="1030" w:right="794" w:hanging="566"/>
        <w:rPr>
          <w:lang w:val="en-US"/>
        </w:rPr>
      </w:pPr>
      <w:r w:rsidRPr="00831397">
        <w:rPr>
          <w:lang w:val="en-US"/>
        </w:rPr>
        <w:t xml:space="preserve">20. This graph summarizes the evolution of CO concentrations in the </w:t>
      </w:r>
      <w:r w:rsidRPr="00831397">
        <w:rPr>
          <w:vertAlign w:val="subscript"/>
          <w:lang w:val="en-US"/>
        </w:rPr>
        <w:t>2</w:t>
      </w:r>
      <w:r w:rsidRPr="00831397">
        <w:rPr>
          <w:lang w:val="en-US"/>
        </w:rPr>
        <w:t xml:space="preserve">atmosphere over 800,000 years. It shows that, </w:t>
      </w:r>
      <w:r w:rsidRPr="00831397">
        <w:rPr>
          <w:b/>
          <w:lang w:val="en-US"/>
        </w:rPr>
        <w:t xml:space="preserve">over 800,000 years, </w:t>
      </w:r>
      <w:r w:rsidRPr="00831397">
        <w:rPr>
          <w:lang w:val="en-US"/>
        </w:rPr>
        <w:t xml:space="preserve">these concentrations have fluctuated </w:t>
      </w:r>
      <w:r w:rsidRPr="00831397">
        <w:rPr>
          <w:b/>
          <w:lang w:val="en-US"/>
        </w:rPr>
        <w:t>between 180 ppm and 300 ppm</w:t>
      </w:r>
      <w:r w:rsidRPr="00831397">
        <w:rPr>
          <w:lang w:val="en-US"/>
        </w:rPr>
        <w:t>. So over the last 800,000 years, the concentration of CO</w:t>
      </w:r>
      <w:r w:rsidRPr="00831397">
        <w:rPr>
          <w:vertAlign w:val="subscript"/>
          <w:lang w:val="en-US"/>
        </w:rPr>
        <w:t>2</w:t>
      </w:r>
      <w:r w:rsidRPr="00831397">
        <w:rPr>
          <w:lang w:val="en-US"/>
        </w:rPr>
        <w:t xml:space="preserve"> was 180 ppm during the coldest glacial periods and 300 ppm during the warmest interglacial periods. Then, </w:t>
      </w:r>
      <w:r w:rsidRPr="00831397">
        <w:rPr>
          <w:lang w:val="en-US"/>
        </w:rPr>
        <w:lastRenderedPageBreak/>
        <w:t xml:space="preserve">suddenly, they increased dramatically, exceeding 400 ppm in a few hundred years, to reach 405 ppm in 2017.  </w:t>
      </w:r>
    </w:p>
    <w:p w14:paraId="6B31F08D" w14:textId="77777777" w:rsidR="004A3CD3" w:rsidRPr="00831397" w:rsidRDefault="006C0598">
      <w:pPr>
        <w:ind w:left="1015" w:right="794"/>
        <w:rPr>
          <w:lang w:val="en-US"/>
        </w:rPr>
      </w:pPr>
      <w:r w:rsidRPr="00831397">
        <w:rPr>
          <w:lang w:val="en-US"/>
        </w:rPr>
        <w:t>This spectacular and rapid increase in CO concentrations</w:t>
      </w:r>
      <w:r w:rsidRPr="00831397">
        <w:rPr>
          <w:vertAlign w:val="subscript"/>
          <w:lang w:val="en-US"/>
        </w:rPr>
        <w:t>2</w:t>
      </w:r>
      <w:r w:rsidRPr="00831397">
        <w:rPr>
          <w:lang w:val="en-US"/>
        </w:rPr>
        <w:t xml:space="preserve"> in the atmosphere coincides with the industrial revolution - which began around 1750 - and its subsequent evolution, and particularly with one aspect of this revolution: the demand for energy, specifically the use of fossil fuels (coal, oil, gas, lignite...). </w:t>
      </w:r>
    </w:p>
    <w:p w14:paraId="75E6498E" w14:textId="77777777" w:rsidR="00E933CB" w:rsidRPr="00831397" w:rsidRDefault="00825B93">
      <w:pPr>
        <w:spacing w:after="53" w:line="259" w:lineRule="auto"/>
        <w:ind w:left="1030" w:right="0" w:firstLine="0"/>
        <w:jc w:val="left"/>
        <w:rPr>
          <w:lang w:val="en-US"/>
        </w:rPr>
      </w:pPr>
      <w:r w:rsidRPr="00831397">
        <w:rPr>
          <w:lang w:val="en-US"/>
        </w:rPr>
        <w:t xml:space="preserve"> </w:t>
      </w:r>
    </w:p>
    <w:p w14:paraId="1EA0C200" w14:textId="77777777" w:rsidR="00E933CB" w:rsidRPr="00831397" w:rsidRDefault="00825B93">
      <w:pPr>
        <w:spacing w:after="22" w:line="259" w:lineRule="auto"/>
        <w:ind w:left="0" w:right="799" w:firstLine="0"/>
        <w:jc w:val="right"/>
        <w:rPr>
          <w:lang w:val="en-US"/>
        </w:rPr>
      </w:pPr>
      <w:r>
        <w:rPr>
          <w:noProof/>
        </w:rPr>
        <w:drawing>
          <wp:inline distT="0" distB="0" distL="0" distR="0" wp14:anchorId="5AE9F0D9" wp14:editId="5BC999FC">
            <wp:extent cx="5523866" cy="2377948"/>
            <wp:effectExtent l="0" t="0" r="0" b="0"/>
            <wp:docPr id="2487" name="Picture 2487"/>
            <wp:cNvGraphicFramePr/>
            <a:graphic xmlns:a="http://schemas.openxmlformats.org/drawingml/2006/main">
              <a:graphicData uri="http://schemas.openxmlformats.org/drawingml/2006/picture">
                <pic:pic xmlns:pic="http://schemas.openxmlformats.org/drawingml/2006/picture">
                  <pic:nvPicPr>
                    <pic:cNvPr id="2487" name="Picture 2487"/>
                    <pic:cNvPicPr/>
                  </pic:nvPicPr>
                  <pic:blipFill>
                    <a:blip r:embed="rId16"/>
                    <a:stretch>
                      <a:fillRect/>
                    </a:stretch>
                  </pic:blipFill>
                  <pic:spPr>
                    <a:xfrm>
                      <a:off x="0" y="0"/>
                      <a:ext cx="5523866" cy="2377948"/>
                    </a:xfrm>
                    <a:prstGeom prst="rect">
                      <a:avLst/>
                    </a:prstGeom>
                  </pic:spPr>
                </pic:pic>
              </a:graphicData>
            </a:graphic>
          </wp:inline>
        </w:drawing>
      </w:r>
      <w:r w:rsidRPr="00831397">
        <w:rPr>
          <w:lang w:val="en-US"/>
        </w:rPr>
        <w:t xml:space="preserve"> </w:t>
      </w:r>
    </w:p>
    <w:p w14:paraId="183F45C1" w14:textId="77777777" w:rsidR="004A3CD3" w:rsidRPr="00831397" w:rsidRDefault="006C0598">
      <w:pPr>
        <w:pStyle w:val="Heading2"/>
        <w:spacing w:after="281"/>
        <w:ind w:left="1025" w:right="0"/>
        <w:rPr>
          <w:lang w:val="en-US"/>
        </w:rPr>
      </w:pPr>
      <w:bookmarkStart w:id="1" w:name="_Toc179568"/>
      <w:r w:rsidRPr="00831397">
        <w:rPr>
          <w:i/>
          <w:lang w:val="en-US"/>
        </w:rPr>
        <w:t xml:space="preserve">Figure 1. </w:t>
      </w:r>
      <w:r w:rsidRPr="00831397">
        <w:rPr>
          <w:lang w:val="en-US"/>
        </w:rPr>
        <w:t xml:space="preserve">CO concentrations </w:t>
      </w:r>
      <w:r w:rsidRPr="00831397">
        <w:rPr>
          <w:vertAlign w:val="subscript"/>
          <w:lang w:val="en-US"/>
        </w:rPr>
        <w:t xml:space="preserve">2 </w:t>
      </w:r>
      <w:r w:rsidRPr="00831397">
        <w:rPr>
          <w:lang w:val="en-US"/>
        </w:rPr>
        <w:t xml:space="preserve">in the atmosphere over the past 800,000 years </w:t>
      </w:r>
      <w:bookmarkEnd w:id="1"/>
    </w:p>
    <w:p w14:paraId="4E63C917" w14:textId="77777777" w:rsidR="004A3CD3" w:rsidRPr="00831397" w:rsidRDefault="006C0598">
      <w:pPr>
        <w:numPr>
          <w:ilvl w:val="0"/>
          <w:numId w:val="13"/>
        </w:numPr>
        <w:ind w:right="794" w:hanging="566"/>
        <w:rPr>
          <w:lang w:val="en-US"/>
        </w:rPr>
      </w:pPr>
      <w:r w:rsidRPr="00831397">
        <w:rPr>
          <w:b/>
          <w:lang w:val="en-US"/>
        </w:rPr>
        <w:t xml:space="preserve">Today, </w:t>
      </w:r>
      <w:r w:rsidRPr="00831397">
        <w:rPr>
          <w:lang w:val="en-US"/>
        </w:rPr>
        <w:t>the concentration of CO</w:t>
      </w:r>
      <w:r w:rsidRPr="00831397">
        <w:rPr>
          <w:vertAlign w:val="subscript"/>
          <w:lang w:val="en-US"/>
        </w:rPr>
        <w:t>2</w:t>
      </w:r>
      <w:r w:rsidRPr="00831397">
        <w:rPr>
          <w:lang w:val="en-US"/>
        </w:rPr>
        <w:t xml:space="preserve"> in the atmosphere continues to increase at a high rate. If in 2017, we counted 405 ppm, we are at the beginning of November 2021 at </w:t>
      </w:r>
      <w:r w:rsidRPr="00831397">
        <w:rPr>
          <w:b/>
          <w:lang w:val="en-US"/>
        </w:rPr>
        <w:t>413.77 ppm</w:t>
      </w:r>
      <w:r>
        <w:rPr>
          <w:sz w:val="20"/>
          <w:vertAlign w:val="superscript"/>
        </w:rPr>
        <w:footnoteReference w:id="18"/>
      </w:r>
      <w:r w:rsidRPr="00831397">
        <w:rPr>
          <w:lang w:val="en-US"/>
        </w:rPr>
        <w:t xml:space="preserve"> .  The current concentration of CO</w:t>
      </w:r>
      <w:r w:rsidRPr="00831397">
        <w:rPr>
          <w:vertAlign w:val="subscript"/>
          <w:lang w:val="en-US"/>
        </w:rPr>
        <w:t>2</w:t>
      </w:r>
      <w:r w:rsidRPr="00831397">
        <w:rPr>
          <w:lang w:val="en-US"/>
        </w:rPr>
        <w:t xml:space="preserve"> is therefore already 113 ppm higher than the concentration during the </w:t>
      </w:r>
      <w:r w:rsidRPr="00831397">
        <w:rPr>
          <w:b/>
          <w:lang w:val="en-US"/>
        </w:rPr>
        <w:t xml:space="preserve">warmest </w:t>
      </w:r>
      <w:r w:rsidRPr="00831397">
        <w:rPr>
          <w:lang w:val="en-US"/>
        </w:rPr>
        <w:t xml:space="preserve">interglacial periods. For 800,000 years, a difference of 120 ppm has made the difference between the coldest ice ages (180 ppm) and the warmest interglacial periods (300 ppm). In the light of this data alone, it is immediately clear what extraordinary global warming and climate changes await us in the future as a result of the concentration already reached of 113 ppm. There is a direct link between increasing CO concentrations </w:t>
      </w:r>
      <w:r w:rsidRPr="00831397">
        <w:rPr>
          <w:vertAlign w:val="subscript"/>
          <w:lang w:val="en-US"/>
        </w:rPr>
        <w:t>2</w:t>
      </w:r>
      <w:r w:rsidRPr="00831397">
        <w:rPr>
          <w:lang w:val="en-US"/>
        </w:rPr>
        <w:t xml:space="preserve">and increasing global temperature. </w:t>
      </w:r>
    </w:p>
    <w:p w14:paraId="6526583C" w14:textId="77777777" w:rsidR="004A3CD3" w:rsidRPr="00831397" w:rsidRDefault="006C0598">
      <w:pPr>
        <w:numPr>
          <w:ilvl w:val="0"/>
          <w:numId w:val="13"/>
        </w:numPr>
        <w:ind w:right="794" w:hanging="566"/>
        <w:rPr>
          <w:lang w:val="en-US"/>
        </w:rPr>
      </w:pPr>
      <w:r w:rsidRPr="00831397">
        <w:rPr>
          <w:lang w:val="en-US"/>
        </w:rPr>
        <w:t>The first part of the AR6 provides a very illustrative graph also for the last 2000 years</w:t>
      </w:r>
      <w:r>
        <w:rPr>
          <w:sz w:val="20"/>
          <w:vertAlign w:val="superscript"/>
        </w:rPr>
        <w:footnoteReference w:id="19"/>
      </w:r>
      <w:r w:rsidRPr="00831397">
        <w:rPr>
          <w:lang w:val="en-US"/>
        </w:rPr>
        <w:t xml:space="preserve">:  </w:t>
      </w:r>
    </w:p>
    <w:p w14:paraId="0B13F0AF" w14:textId="77777777" w:rsidR="00E933CB" w:rsidRPr="00831397" w:rsidRDefault="00825B93">
      <w:pPr>
        <w:spacing w:after="21" w:line="259" w:lineRule="auto"/>
        <w:ind w:left="0" w:right="46" w:firstLine="0"/>
        <w:jc w:val="right"/>
        <w:rPr>
          <w:lang w:val="en-US"/>
        </w:rPr>
      </w:pPr>
      <w:r>
        <w:rPr>
          <w:noProof/>
        </w:rPr>
        <w:lastRenderedPageBreak/>
        <w:drawing>
          <wp:inline distT="0" distB="0" distL="0" distR="0" wp14:anchorId="60253AA0" wp14:editId="0F47036A">
            <wp:extent cx="5759450" cy="3615690"/>
            <wp:effectExtent l="0" t="0" r="0" b="0"/>
            <wp:docPr id="2597" name="Picture 2597"/>
            <wp:cNvGraphicFramePr/>
            <a:graphic xmlns:a="http://schemas.openxmlformats.org/drawingml/2006/main">
              <a:graphicData uri="http://schemas.openxmlformats.org/drawingml/2006/picture">
                <pic:pic xmlns:pic="http://schemas.openxmlformats.org/drawingml/2006/picture">
                  <pic:nvPicPr>
                    <pic:cNvPr id="2597" name="Picture 2597"/>
                    <pic:cNvPicPr/>
                  </pic:nvPicPr>
                  <pic:blipFill>
                    <a:blip r:embed="rId17"/>
                    <a:stretch>
                      <a:fillRect/>
                    </a:stretch>
                  </pic:blipFill>
                  <pic:spPr>
                    <a:xfrm>
                      <a:off x="0" y="0"/>
                      <a:ext cx="5759450" cy="3615690"/>
                    </a:xfrm>
                    <a:prstGeom prst="rect">
                      <a:avLst/>
                    </a:prstGeom>
                  </pic:spPr>
                </pic:pic>
              </a:graphicData>
            </a:graphic>
          </wp:inline>
        </w:drawing>
      </w:r>
      <w:r w:rsidRPr="00831397">
        <w:rPr>
          <w:lang w:val="en-US"/>
        </w:rPr>
        <w:t xml:space="preserve"> </w:t>
      </w:r>
    </w:p>
    <w:p w14:paraId="170518DB" w14:textId="77777777" w:rsidR="004A3CD3" w:rsidRPr="00831397" w:rsidRDefault="006C0598">
      <w:pPr>
        <w:pStyle w:val="Heading2"/>
        <w:spacing w:after="281"/>
        <w:ind w:left="1025"/>
        <w:rPr>
          <w:lang w:val="en-US"/>
        </w:rPr>
      </w:pPr>
      <w:bookmarkStart w:id="2" w:name="_Toc179569"/>
      <w:r w:rsidRPr="00831397">
        <w:rPr>
          <w:i/>
          <w:lang w:val="en-US"/>
        </w:rPr>
        <w:t>Figure 2</w:t>
      </w:r>
      <w:r w:rsidRPr="00831397">
        <w:rPr>
          <w:lang w:val="en-US"/>
        </w:rPr>
        <w:t xml:space="preserve">. Global warming is due to human activity and has been increasing drastically since 1850, especially 1970 </w:t>
      </w:r>
      <w:bookmarkEnd w:id="2"/>
    </w:p>
    <w:p w14:paraId="399754A3" w14:textId="77777777" w:rsidR="004A3CD3" w:rsidRPr="00831397" w:rsidRDefault="006C0598">
      <w:pPr>
        <w:spacing w:after="7"/>
        <w:ind w:left="1030" w:right="794" w:hanging="566"/>
        <w:rPr>
          <w:lang w:val="en-US"/>
        </w:rPr>
      </w:pPr>
      <w:r w:rsidRPr="00831397">
        <w:rPr>
          <w:lang w:val="en-US"/>
        </w:rPr>
        <w:t xml:space="preserve">23. It will be argued in the following paragraphs that the best available science agrees that it is imperative to keep CO concentration </w:t>
      </w:r>
      <w:r w:rsidRPr="00831397">
        <w:rPr>
          <w:vertAlign w:val="subscript"/>
          <w:lang w:val="en-US"/>
        </w:rPr>
        <w:t>2</w:t>
      </w:r>
      <w:r w:rsidRPr="00831397">
        <w:rPr>
          <w:lang w:val="en-US"/>
        </w:rPr>
        <w:t xml:space="preserve">below 430 ppm CO </w:t>
      </w:r>
      <w:r w:rsidRPr="00831397">
        <w:rPr>
          <w:vertAlign w:val="subscript"/>
          <w:lang w:val="en-US"/>
        </w:rPr>
        <w:t>2</w:t>
      </w:r>
      <w:r w:rsidRPr="00831397">
        <w:rPr>
          <w:lang w:val="en-US"/>
        </w:rPr>
        <w:t xml:space="preserve">eq. to avoid dangerous global warming. The "window of opportunity", in other words "the space in which it is still possible to act", is extremely narrow. </w:t>
      </w:r>
    </w:p>
    <w:p w14:paraId="7D96CB33" w14:textId="77777777" w:rsidR="004A3CD3" w:rsidRPr="00831397" w:rsidRDefault="006C0598">
      <w:pPr>
        <w:tabs>
          <w:tab w:val="center" w:pos="3868"/>
          <w:tab w:val="center" w:pos="9585"/>
        </w:tabs>
        <w:spacing w:after="3" w:line="265" w:lineRule="auto"/>
        <w:ind w:left="0" w:right="0" w:firstLine="0"/>
        <w:jc w:val="left"/>
        <w:rPr>
          <w:lang w:val="en-US"/>
        </w:rPr>
      </w:pPr>
      <w:r w:rsidRPr="00831397">
        <w:rPr>
          <w:lang w:val="en-US"/>
        </w:rPr>
        <w:tab/>
        <w:t xml:space="preserve">The decade 2020-2030 will be decisive. We will come back to this. </w:t>
      </w:r>
      <w:r w:rsidRPr="00831397">
        <w:rPr>
          <w:lang w:val="en-US"/>
        </w:rPr>
        <w:tab/>
        <w:t xml:space="preserve"> </w:t>
      </w:r>
    </w:p>
    <w:p w14:paraId="1CFE6980" w14:textId="77777777" w:rsidR="004A3CD3" w:rsidRPr="00831397" w:rsidRDefault="006C0598">
      <w:pPr>
        <w:tabs>
          <w:tab w:val="center" w:pos="556"/>
          <w:tab w:val="center" w:pos="3374"/>
        </w:tabs>
        <w:spacing w:after="264" w:line="248" w:lineRule="auto"/>
        <w:ind w:left="0" w:right="0" w:firstLine="0"/>
        <w:jc w:val="left"/>
        <w:rPr>
          <w:lang w:val="en-US"/>
        </w:rPr>
      </w:pPr>
      <w:r w:rsidRPr="00831397">
        <w:rPr>
          <w:lang w:val="en-US"/>
        </w:rPr>
        <w:tab/>
      </w:r>
      <w:r w:rsidRPr="00831397">
        <w:rPr>
          <w:b/>
          <w:i/>
          <w:lang w:val="en-US"/>
        </w:rPr>
        <w:t xml:space="preserve">B. </w:t>
      </w:r>
      <w:r w:rsidRPr="00831397">
        <w:rPr>
          <w:rFonts w:ascii="Arial" w:eastAsia="Arial" w:hAnsi="Arial" w:cs="Arial"/>
          <w:b/>
          <w:i/>
          <w:lang w:val="en-US"/>
        </w:rPr>
        <w:tab/>
      </w:r>
      <w:r w:rsidRPr="00831397">
        <w:rPr>
          <w:b/>
          <w:i/>
          <w:u w:val="single" w:color="000000"/>
          <w:lang w:val="en-US"/>
        </w:rPr>
        <w:t>Why is CO</w:t>
      </w:r>
      <w:r w:rsidRPr="00831397">
        <w:rPr>
          <w:b/>
          <w:i/>
          <w:u w:val="single" w:color="000000"/>
          <w:vertAlign w:val="subscript"/>
          <w:lang w:val="en-US"/>
        </w:rPr>
        <w:t xml:space="preserve">2  </w:t>
      </w:r>
      <w:r w:rsidRPr="00831397">
        <w:rPr>
          <w:b/>
          <w:i/>
          <w:u w:val="single" w:color="000000"/>
          <w:lang w:val="en-US"/>
        </w:rPr>
        <w:t xml:space="preserve"> particularly dangerous?</w:t>
      </w:r>
      <w:r w:rsidRPr="00831397">
        <w:rPr>
          <w:b/>
          <w:i/>
          <w:lang w:val="en-US"/>
        </w:rPr>
        <w:t xml:space="preserve">  </w:t>
      </w:r>
    </w:p>
    <w:p w14:paraId="672224A5" w14:textId="77777777" w:rsidR="004A3CD3" w:rsidRPr="00831397" w:rsidRDefault="006C0598">
      <w:pPr>
        <w:tabs>
          <w:tab w:val="center" w:pos="522"/>
          <w:tab w:val="center" w:pos="2910"/>
        </w:tabs>
        <w:spacing w:after="264" w:line="248" w:lineRule="auto"/>
        <w:ind w:left="0" w:right="0" w:firstLine="0"/>
        <w:jc w:val="left"/>
        <w:rPr>
          <w:lang w:val="en-US"/>
        </w:rPr>
      </w:pPr>
      <w:r w:rsidRPr="00831397">
        <w:rPr>
          <w:lang w:val="en-US"/>
        </w:rPr>
        <w:tab/>
      </w:r>
      <w:r w:rsidRPr="00831397">
        <w:rPr>
          <w:b/>
          <w:i/>
          <w:lang w:val="en-US"/>
        </w:rPr>
        <w:t xml:space="preserve">a </w:t>
      </w:r>
      <w:r w:rsidRPr="00831397">
        <w:rPr>
          <w:rFonts w:ascii="Arial" w:eastAsia="Arial" w:hAnsi="Arial" w:cs="Arial"/>
          <w:b/>
          <w:i/>
          <w:lang w:val="en-US"/>
        </w:rPr>
        <w:tab/>
      </w:r>
      <w:r w:rsidRPr="00831397">
        <w:rPr>
          <w:b/>
          <w:i/>
          <w:u w:val="single" w:color="000000"/>
          <w:lang w:val="en-US"/>
        </w:rPr>
        <w:t xml:space="preserve">Because of its quantitative importance </w:t>
      </w:r>
    </w:p>
    <w:p w14:paraId="23E4C348" w14:textId="77777777" w:rsidR="004A3CD3" w:rsidRPr="00831397" w:rsidRDefault="006C0598">
      <w:pPr>
        <w:spacing w:after="68"/>
        <w:ind w:left="1030" w:right="794" w:hanging="566"/>
        <w:rPr>
          <w:lang w:val="en-US"/>
        </w:rPr>
      </w:pPr>
      <w:r w:rsidRPr="00831397">
        <w:rPr>
          <w:lang w:val="en-US"/>
        </w:rPr>
        <w:t xml:space="preserve">24. Of the major GHGs (carbon dioxide or CO </w:t>
      </w:r>
      <w:r w:rsidRPr="00831397">
        <w:rPr>
          <w:vertAlign w:val="subscript"/>
          <w:lang w:val="en-US"/>
        </w:rPr>
        <w:t>2</w:t>
      </w:r>
      <w:r w:rsidRPr="00831397">
        <w:rPr>
          <w:lang w:val="en-US"/>
        </w:rPr>
        <w:t xml:space="preserve">, methane or CH </w:t>
      </w:r>
      <w:r w:rsidRPr="00831397">
        <w:rPr>
          <w:vertAlign w:val="subscript"/>
          <w:lang w:val="en-US"/>
        </w:rPr>
        <w:t>4</w:t>
      </w:r>
      <w:r w:rsidRPr="00831397">
        <w:rPr>
          <w:lang w:val="en-US"/>
        </w:rPr>
        <w:t xml:space="preserve">, nitrous oxide or N </w:t>
      </w:r>
      <w:r w:rsidRPr="00831397">
        <w:rPr>
          <w:vertAlign w:val="subscript"/>
          <w:lang w:val="en-US"/>
        </w:rPr>
        <w:t>2</w:t>
      </w:r>
      <w:r w:rsidRPr="00831397">
        <w:rPr>
          <w:lang w:val="en-US"/>
        </w:rPr>
        <w:t xml:space="preserve">O and ozone or O </w:t>
      </w:r>
      <w:r w:rsidRPr="00831397">
        <w:rPr>
          <w:vertAlign w:val="subscript"/>
          <w:lang w:val="en-US"/>
        </w:rPr>
        <w:t xml:space="preserve">3) </w:t>
      </w:r>
      <w:r w:rsidRPr="00831397">
        <w:rPr>
          <w:lang w:val="en-US"/>
        </w:rPr>
        <w:t xml:space="preserve">it is clear that CO emissions </w:t>
      </w:r>
      <w:r w:rsidRPr="00831397">
        <w:rPr>
          <w:vertAlign w:val="subscript"/>
          <w:lang w:val="en-US"/>
        </w:rPr>
        <w:t xml:space="preserve">2 </w:t>
      </w:r>
      <w:r w:rsidRPr="00831397">
        <w:rPr>
          <w:lang w:val="en-US"/>
        </w:rPr>
        <w:t xml:space="preserve">are </w:t>
      </w:r>
      <w:r w:rsidRPr="00831397">
        <w:rPr>
          <w:b/>
          <w:lang w:val="en-US"/>
        </w:rPr>
        <w:t xml:space="preserve">quantitatively </w:t>
      </w:r>
      <w:r w:rsidRPr="00831397">
        <w:rPr>
          <w:lang w:val="en-US"/>
        </w:rPr>
        <w:t xml:space="preserve">the most important:  </w:t>
      </w:r>
    </w:p>
    <w:p w14:paraId="1A2465DE" w14:textId="77777777" w:rsidR="00E933CB" w:rsidRPr="00831397" w:rsidRDefault="00825B93">
      <w:pPr>
        <w:spacing w:after="21" w:line="259" w:lineRule="auto"/>
        <w:ind w:left="0" w:right="763" w:firstLine="0"/>
        <w:jc w:val="right"/>
        <w:rPr>
          <w:lang w:val="en-US"/>
        </w:rPr>
      </w:pPr>
      <w:r>
        <w:rPr>
          <w:noProof/>
        </w:rPr>
        <w:drawing>
          <wp:inline distT="0" distB="0" distL="0" distR="0" wp14:anchorId="325AB394" wp14:editId="5CA805D6">
            <wp:extent cx="5303266" cy="2955290"/>
            <wp:effectExtent l="0" t="0" r="0" b="0"/>
            <wp:docPr id="2727" name="Picture 2727"/>
            <wp:cNvGraphicFramePr/>
            <a:graphic xmlns:a="http://schemas.openxmlformats.org/drawingml/2006/main">
              <a:graphicData uri="http://schemas.openxmlformats.org/drawingml/2006/picture">
                <pic:pic xmlns:pic="http://schemas.openxmlformats.org/drawingml/2006/picture">
                  <pic:nvPicPr>
                    <pic:cNvPr id="2727" name="Picture 2727"/>
                    <pic:cNvPicPr/>
                  </pic:nvPicPr>
                  <pic:blipFill>
                    <a:blip r:embed="rId18"/>
                    <a:stretch>
                      <a:fillRect/>
                    </a:stretch>
                  </pic:blipFill>
                  <pic:spPr>
                    <a:xfrm>
                      <a:off x="0" y="0"/>
                      <a:ext cx="5303266" cy="2955290"/>
                    </a:xfrm>
                    <a:prstGeom prst="rect">
                      <a:avLst/>
                    </a:prstGeom>
                  </pic:spPr>
                </pic:pic>
              </a:graphicData>
            </a:graphic>
          </wp:inline>
        </w:drawing>
      </w:r>
      <w:r w:rsidRPr="00831397">
        <w:rPr>
          <w:lang w:val="en-US"/>
        </w:rPr>
        <w:t xml:space="preserve"> </w:t>
      </w:r>
    </w:p>
    <w:p w14:paraId="0164BEC8" w14:textId="77777777" w:rsidR="004A3CD3" w:rsidRPr="00831397" w:rsidRDefault="006C0598">
      <w:pPr>
        <w:pStyle w:val="Heading2"/>
        <w:spacing w:after="280"/>
        <w:ind w:left="1025"/>
        <w:rPr>
          <w:lang w:val="en-US"/>
        </w:rPr>
      </w:pPr>
      <w:bookmarkStart w:id="3" w:name="_Toc179570"/>
      <w:r w:rsidRPr="00831397">
        <w:rPr>
          <w:i/>
          <w:lang w:val="en-US"/>
        </w:rPr>
        <w:lastRenderedPageBreak/>
        <w:t xml:space="preserve">Figure 3. </w:t>
      </w:r>
      <w:r w:rsidRPr="00831397">
        <w:rPr>
          <w:lang w:val="en-US"/>
        </w:rPr>
        <w:t xml:space="preserve">Total annual anthropogenic GHG emissions by gas group from 1970 to 2010 </w:t>
      </w:r>
      <w:bookmarkEnd w:id="3"/>
    </w:p>
    <w:p w14:paraId="10F7BCED" w14:textId="77777777" w:rsidR="004A3CD3" w:rsidRPr="00831397" w:rsidRDefault="006C0598">
      <w:pPr>
        <w:spacing w:after="70"/>
        <w:ind w:left="1030" w:right="794" w:hanging="566"/>
        <w:rPr>
          <w:lang w:val="en-US"/>
        </w:rPr>
      </w:pPr>
      <w:r w:rsidRPr="00831397">
        <w:rPr>
          <w:lang w:val="en-US"/>
        </w:rPr>
        <w:t>25. In particular, anthropogenic CO emissions</w:t>
      </w:r>
      <w:r w:rsidRPr="00831397">
        <w:rPr>
          <w:vertAlign w:val="subscript"/>
          <w:lang w:val="en-US"/>
        </w:rPr>
        <w:t>2</w:t>
      </w:r>
      <w:r w:rsidRPr="00831397">
        <w:rPr>
          <w:lang w:val="en-US"/>
        </w:rPr>
        <w:t xml:space="preserve"> </w:t>
      </w:r>
      <w:r w:rsidRPr="00831397">
        <w:rPr>
          <w:b/>
          <w:lang w:val="en-US"/>
        </w:rPr>
        <w:t xml:space="preserve">have increased steadily </w:t>
      </w:r>
      <w:r w:rsidRPr="00831397">
        <w:rPr>
          <w:lang w:val="en-US"/>
        </w:rPr>
        <w:t xml:space="preserve">between 1750 and 2011, with an exponential acceleration from the 1970s. </w:t>
      </w:r>
    </w:p>
    <w:p w14:paraId="0B178168" w14:textId="77777777" w:rsidR="00E933CB" w:rsidRPr="00831397" w:rsidRDefault="00825B93">
      <w:pPr>
        <w:spacing w:after="25" w:line="259" w:lineRule="auto"/>
        <w:ind w:left="0" w:right="235" w:firstLine="0"/>
        <w:jc w:val="right"/>
        <w:rPr>
          <w:lang w:val="en-US"/>
        </w:rPr>
      </w:pPr>
      <w:r>
        <w:rPr>
          <w:noProof/>
        </w:rPr>
        <w:drawing>
          <wp:inline distT="0" distB="0" distL="0" distR="0" wp14:anchorId="34F4D11D" wp14:editId="2F070E5E">
            <wp:extent cx="5627370" cy="2268855"/>
            <wp:effectExtent l="0" t="0" r="0" b="0"/>
            <wp:docPr id="2729" name="Picture 2729"/>
            <wp:cNvGraphicFramePr/>
            <a:graphic xmlns:a="http://schemas.openxmlformats.org/drawingml/2006/main">
              <a:graphicData uri="http://schemas.openxmlformats.org/drawingml/2006/picture">
                <pic:pic xmlns:pic="http://schemas.openxmlformats.org/drawingml/2006/picture">
                  <pic:nvPicPr>
                    <pic:cNvPr id="2729" name="Picture 2729"/>
                    <pic:cNvPicPr/>
                  </pic:nvPicPr>
                  <pic:blipFill>
                    <a:blip r:embed="rId19"/>
                    <a:stretch>
                      <a:fillRect/>
                    </a:stretch>
                  </pic:blipFill>
                  <pic:spPr>
                    <a:xfrm>
                      <a:off x="0" y="0"/>
                      <a:ext cx="5627370" cy="2268855"/>
                    </a:xfrm>
                    <a:prstGeom prst="rect">
                      <a:avLst/>
                    </a:prstGeom>
                  </pic:spPr>
                </pic:pic>
              </a:graphicData>
            </a:graphic>
          </wp:inline>
        </w:drawing>
      </w:r>
      <w:r w:rsidRPr="00831397">
        <w:rPr>
          <w:lang w:val="en-US"/>
        </w:rPr>
        <w:t xml:space="preserve"> </w:t>
      </w:r>
    </w:p>
    <w:p w14:paraId="1FCC1F54" w14:textId="77777777" w:rsidR="004A3CD3" w:rsidRPr="00831397" w:rsidRDefault="006C0598">
      <w:pPr>
        <w:pStyle w:val="Heading2"/>
        <w:spacing w:after="12" w:line="475" w:lineRule="auto"/>
        <w:ind w:left="464" w:right="4909" w:firstLine="566"/>
        <w:rPr>
          <w:lang w:val="en-US"/>
        </w:rPr>
      </w:pPr>
      <w:bookmarkStart w:id="4" w:name="_Toc179571"/>
      <w:r w:rsidRPr="00831397">
        <w:rPr>
          <w:i/>
          <w:lang w:val="en-US"/>
        </w:rPr>
        <w:t>Figure 4</w:t>
      </w:r>
      <w:r w:rsidRPr="00831397">
        <w:rPr>
          <w:lang w:val="en-US"/>
        </w:rPr>
        <w:t xml:space="preserve">. 1750-2011: Cumulative CO </w:t>
      </w:r>
      <w:r w:rsidRPr="00831397">
        <w:rPr>
          <w:vertAlign w:val="subscript"/>
          <w:lang w:val="en-US"/>
        </w:rPr>
        <w:t>2</w:t>
      </w:r>
      <w:r w:rsidRPr="00831397">
        <w:rPr>
          <w:i/>
          <w:vertAlign w:val="subscript"/>
          <w:lang w:val="en-US"/>
        </w:rPr>
        <w:t xml:space="preserve"> </w:t>
      </w:r>
      <w:bookmarkEnd w:id="4"/>
    </w:p>
    <w:p w14:paraId="74DA9F9C" w14:textId="77777777" w:rsidR="004A3CD3" w:rsidRPr="00831397" w:rsidRDefault="006C0598">
      <w:pPr>
        <w:spacing w:after="12" w:line="475" w:lineRule="auto"/>
        <w:ind w:left="464" w:right="4909" w:firstLine="566"/>
        <w:jc w:val="left"/>
        <w:rPr>
          <w:lang w:val="en-US"/>
        </w:rPr>
      </w:pPr>
      <w:r w:rsidRPr="00831397">
        <w:rPr>
          <w:b/>
          <w:i/>
          <w:lang w:val="en-US"/>
        </w:rPr>
        <w:t xml:space="preserve">b </w:t>
      </w:r>
      <w:r w:rsidRPr="00831397">
        <w:rPr>
          <w:b/>
          <w:i/>
          <w:u w:val="single" w:color="000000"/>
          <w:lang w:val="en-US"/>
        </w:rPr>
        <w:t xml:space="preserve">Because of its longevity </w:t>
      </w:r>
    </w:p>
    <w:p w14:paraId="022A0DD0" w14:textId="77777777" w:rsidR="004A3CD3" w:rsidRPr="00831397" w:rsidRDefault="006C0598">
      <w:pPr>
        <w:numPr>
          <w:ilvl w:val="0"/>
          <w:numId w:val="14"/>
        </w:numPr>
        <w:spacing w:line="248" w:lineRule="auto"/>
        <w:ind w:right="792" w:hanging="566"/>
        <w:rPr>
          <w:lang w:val="en-US"/>
        </w:rPr>
      </w:pPr>
      <w:r w:rsidRPr="00831397">
        <w:rPr>
          <w:lang w:val="en-US"/>
        </w:rPr>
        <w:t>Furthermore, CO</w:t>
      </w:r>
      <w:r w:rsidRPr="00831397">
        <w:rPr>
          <w:vertAlign w:val="subscript"/>
          <w:lang w:val="en-US"/>
        </w:rPr>
        <w:t>2</w:t>
      </w:r>
      <w:r w:rsidRPr="00831397">
        <w:rPr>
          <w:lang w:val="en-US"/>
        </w:rPr>
        <w:t xml:space="preserve"> is considered the most dangerous GHG because of its </w:t>
      </w:r>
      <w:r w:rsidRPr="00831397">
        <w:rPr>
          <w:b/>
          <w:lang w:val="en-US"/>
        </w:rPr>
        <w:t>longevity</w:t>
      </w:r>
      <w:r w:rsidRPr="00831397">
        <w:rPr>
          <w:lang w:val="en-US"/>
        </w:rPr>
        <w:t xml:space="preserve">. Once in the atmosphere, CO molecules </w:t>
      </w:r>
      <w:r w:rsidRPr="00831397">
        <w:rPr>
          <w:vertAlign w:val="subscript"/>
          <w:lang w:val="en-US"/>
        </w:rPr>
        <w:t>2</w:t>
      </w:r>
      <w:r w:rsidRPr="00831397">
        <w:rPr>
          <w:lang w:val="en-US"/>
        </w:rPr>
        <w:t xml:space="preserve">disappear only after several hundred years and in some cases even after millennia, retaining their warming properties in the meantime.  </w:t>
      </w:r>
    </w:p>
    <w:p w14:paraId="2260903F" w14:textId="77777777" w:rsidR="004A3CD3" w:rsidRPr="00831397" w:rsidRDefault="006C0598">
      <w:pPr>
        <w:spacing w:after="297"/>
        <w:ind w:left="1015" w:right="794"/>
        <w:rPr>
          <w:lang w:val="en-US"/>
        </w:rPr>
      </w:pPr>
      <w:r w:rsidRPr="00831397">
        <w:rPr>
          <w:lang w:val="en-US"/>
        </w:rPr>
        <w:t xml:space="preserve">The </w:t>
      </w:r>
      <w:r w:rsidRPr="00831397">
        <w:rPr>
          <w:vertAlign w:val="subscript"/>
          <w:lang w:val="en-US"/>
        </w:rPr>
        <w:t>2</w:t>
      </w:r>
      <w:r w:rsidRPr="00831397">
        <w:rPr>
          <w:lang w:val="en-US"/>
        </w:rPr>
        <w:t xml:space="preserve">current CO concentration in the atmosphere therefore contains an </w:t>
      </w:r>
      <w:r w:rsidRPr="00831397">
        <w:rPr>
          <w:b/>
          <w:lang w:val="en-US"/>
        </w:rPr>
        <w:t xml:space="preserve">accumulation of </w:t>
      </w:r>
      <w:r w:rsidRPr="00831397">
        <w:rPr>
          <w:vertAlign w:val="subscript"/>
          <w:lang w:val="en-US"/>
        </w:rPr>
        <w:t>2</w:t>
      </w:r>
      <w:r w:rsidRPr="00831397">
        <w:rPr>
          <w:lang w:val="en-US"/>
        </w:rPr>
        <w:t xml:space="preserve">anthropogenic CO </w:t>
      </w:r>
      <w:r w:rsidRPr="00831397">
        <w:rPr>
          <w:b/>
          <w:lang w:val="en-US"/>
        </w:rPr>
        <w:t xml:space="preserve">emissions </w:t>
      </w:r>
      <w:r w:rsidRPr="00831397">
        <w:rPr>
          <w:lang w:val="en-US"/>
        </w:rPr>
        <w:t>from 1750 to the present day. Anthropogenic CO</w:t>
      </w:r>
      <w:r w:rsidRPr="00831397">
        <w:rPr>
          <w:vertAlign w:val="subscript"/>
          <w:lang w:val="en-US"/>
        </w:rPr>
        <w:t>2</w:t>
      </w:r>
      <w:r w:rsidRPr="00831397">
        <w:rPr>
          <w:lang w:val="en-US"/>
        </w:rPr>
        <w:t xml:space="preserve"> emissions have increased the concentration level of this GHG in the atmosphere by 40% since 1750 and have thus drastically changed the physico-chemical composition of the atmosphere</w:t>
      </w:r>
      <w:r>
        <w:rPr>
          <w:sz w:val="20"/>
          <w:vertAlign w:val="superscript"/>
        </w:rPr>
        <w:footnoteReference w:id="20"/>
      </w:r>
      <w:r w:rsidRPr="00831397">
        <w:rPr>
          <w:lang w:val="en-US"/>
        </w:rPr>
        <w:t xml:space="preserve">.  </w:t>
      </w:r>
    </w:p>
    <w:p w14:paraId="6D8A96C1" w14:textId="77777777" w:rsidR="004A3CD3" w:rsidRPr="00831397" w:rsidRDefault="006C0598">
      <w:pPr>
        <w:numPr>
          <w:ilvl w:val="0"/>
          <w:numId w:val="14"/>
        </w:numPr>
        <w:ind w:right="792" w:hanging="566"/>
        <w:rPr>
          <w:lang w:val="en-US"/>
        </w:rPr>
      </w:pPr>
      <w:r w:rsidRPr="00831397">
        <w:rPr>
          <w:lang w:val="en-US"/>
        </w:rPr>
        <w:t>Since CO</w:t>
      </w:r>
      <w:r w:rsidRPr="00831397">
        <w:rPr>
          <w:vertAlign w:val="subscript"/>
          <w:lang w:val="en-US"/>
        </w:rPr>
        <w:t>2</w:t>
      </w:r>
      <w:r w:rsidRPr="00831397">
        <w:rPr>
          <w:lang w:val="en-US"/>
        </w:rPr>
        <w:t xml:space="preserve"> is the most important part of the emissions, in quantitative as well as qualitative terms, the impact of other GHGs on global warming is expressed in equivalents of the warming value of CO</w:t>
      </w:r>
      <w:r w:rsidRPr="00831397">
        <w:rPr>
          <w:vertAlign w:val="subscript"/>
          <w:lang w:val="en-US"/>
        </w:rPr>
        <w:t>2</w:t>
      </w:r>
      <w:r w:rsidRPr="00831397">
        <w:rPr>
          <w:lang w:val="en-US"/>
        </w:rPr>
        <w:t xml:space="preserve"> . Thus, the warming values of non-CO GHGs</w:t>
      </w:r>
      <w:r w:rsidRPr="00831397">
        <w:rPr>
          <w:vertAlign w:val="subscript"/>
          <w:lang w:val="en-US"/>
        </w:rPr>
        <w:t>2</w:t>
      </w:r>
      <w:r w:rsidRPr="00831397">
        <w:rPr>
          <w:lang w:val="en-US"/>
        </w:rPr>
        <w:t>, such as methane, are commonly expressed in "CO-equivalents</w:t>
      </w:r>
      <w:r w:rsidRPr="00831397">
        <w:rPr>
          <w:vertAlign w:val="subscript"/>
          <w:lang w:val="en-US"/>
        </w:rPr>
        <w:t>2</w:t>
      </w:r>
      <w:r w:rsidRPr="00831397">
        <w:rPr>
          <w:lang w:val="en-US"/>
        </w:rPr>
        <w:t>"</w:t>
      </w:r>
      <w:r w:rsidRPr="00831397">
        <w:rPr>
          <w:vertAlign w:val="subscript"/>
          <w:lang w:val="en-US"/>
        </w:rPr>
        <w:t>2</w:t>
      </w:r>
      <w:r>
        <w:rPr>
          <w:sz w:val="20"/>
          <w:vertAlign w:val="superscript"/>
        </w:rPr>
        <w:footnoteReference w:id="21"/>
      </w:r>
      <w:r w:rsidRPr="00831397">
        <w:rPr>
          <w:lang w:val="en-US"/>
        </w:rPr>
        <w:t xml:space="preserve">. For a good understanding of the following, more technical part, it is good to know this. </w:t>
      </w:r>
    </w:p>
    <w:p w14:paraId="78C66119" w14:textId="77777777" w:rsidR="004A3CD3" w:rsidRPr="00831397" w:rsidRDefault="006C0598">
      <w:pPr>
        <w:ind w:left="1015" w:right="794"/>
        <w:rPr>
          <w:lang w:val="en-US"/>
        </w:rPr>
      </w:pPr>
      <w:r w:rsidRPr="00831397">
        <w:rPr>
          <w:lang w:val="en-US"/>
        </w:rPr>
        <w:t>It is important to distinguish between scientific statements and standards expressed in CO concentrations</w:t>
      </w:r>
      <w:r w:rsidRPr="00831397">
        <w:rPr>
          <w:vertAlign w:val="subscript"/>
          <w:lang w:val="en-US"/>
        </w:rPr>
        <w:t>2</w:t>
      </w:r>
      <w:r w:rsidRPr="00831397">
        <w:rPr>
          <w:lang w:val="en-US"/>
        </w:rPr>
        <w:t xml:space="preserve">and those expressed in CO eq. concentrations </w:t>
      </w:r>
      <w:r w:rsidRPr="00831397">
        <w:rPr>
          <w:vertAlign w:val="subscript"/>
          <w:lang w:val="en-US"/>
        </w:rPr>
        <w:t>2</w:t>
      </w:r>
      <w:r w:rsidRPr="00831397">
        <w:rPr>
          <w:lang w:val="en-US"/>
        </w:rPr>
        <w:t>because the values in ppm (parts per million) are not the same, which can lead to confusion when reading IPCC reports. In the same vein, we must be careful about the specific meaning of the unit "ppm CO eq</w:t>
      </w:r>
      <w:r w:rsidRPr="00831397">
        <w:rPr>
          <w:vertAlign w:val="subscript"/>
          <w:lang w:val="en-US"/>
        </w:rPr>
        <w:t>2</w:t>
      </w:r>
      <w:r w:rsidRPr="00831397">
        <w:rPr>
          <w:lang w:val="en-US"/>
        </w:rPr>
        <w:t xml:space="preserve">". The unit 'ppm' means 'parts per million'. For example, 300 ppm of CO </w:t>
      </w:r>
      <w:r w:rsidRPr="00831397">
        <w:rPr>
          <w:vertAlign w:val="subscript"/>
          <w:lang w:val="en-US"/>
        </w:rPr>
        <w:t>2</w:t>
      </w:r>
      <w:r w:rsidRPr="00831397">
        <w:rPr>
          <w:lang w:val="en-US"/>
        </w:rPr>
        <w:t xml:space="preserve">means that out of every million molecules in the atmosphere, 300 are CO </w:t>
      </w:r>
      <w:r w:rsidRPr="00831397">
        <w:rPr>
          <w:vertAlign w:val="subscript"/>
          <w:lang w:val="en-US"/>
        </w:rPr>
        <w:t>2</w:t>
      </w:r>
      <w:r w:rsidRPr="00831397">
        <w:rPr>
          <w:lang w:val="en-US"/>
        </w:rPr>
        <w:t xml:space="preserve">. When the unit "ppm CO </w:t>
      </w:r>
      <w:r w:rsidRPr="00831397">
        <w:rPr>
          <w:vertAlign w:val="subscript"/>
          <w:lang w:val="en-US"/>
        </w:rPr>
        <w:t>2</w:t>
      </w:r>
      <w:r w:rsidRPr="00831397">
        <w:rPr>
          <w:lang w:val="en-US"/>
        </w:rPr>
        <w:t xml:space="preserve">eq" is used, it is to describe the concentration of GHGs all together, where the concentration of non-CO GHGs </w:t>
      </w:r>
      <w:r w:rsidRPr="00831397">
        <w:rPr>
          <w:vertAlign w:val="subscript"/>
          <w:lang w:val="en-US"/>
        </w:rPr>
        <w:t>2</w:t>
      </w:r>
      <w:r w:rsidRPr="00831397">
        <w:rPr>
          <w:lang w:val="en-US"/>
        </w:rPr>
        <w:t xml:space="preserve">is reduced to a concentration of CO </w:t>
      </w:r>
      <w:r w:rsidRPr="00831397">
        <w:rPr>
          <w:vertAlign w:val="subscript"/>
          <w:lang w:val="en-US"/>
        </w:rPr>
        <w:t>2</w:t>
      </w:r>
      <w:r w:rsidRPr="00831397">
        <w:rPr>
          <w:lang w:val="en-US"/>
        </w:rPr>
        <w:t>based on their warming effect</w:t>
      </w:r>
      <w:r>
        <w:rPr>
          <w:sz w:val="20"/>
          <w:vertAlign w:val="superscript"/>
        </w:rPr>
        <w:footnoteReference w:id="22"/>
      </w:r>
      <w:r w:rsidRPr="00831397">
        <w:rPr>
          <w:lang w:val="en-US"/>
        </w:rPr>
        <w:t xml:space="preserve">. </w:t>
      </w:r>
    </w:p>
    <w:p w14:paraId="6D87E701" w14:textId="77777777" w:rsidR="004A3CD3" w:rsidRPr="00831397" w:rsidRDefault="006C0598">
      <w:pPr>
        <w:spacing w:after="271"/>
        <w:ind w:left="1015" w:right="794"/>
        <w:rPr>
          <w:lang w:val="en-US"/>
        </w:rPr>
      </w:pPr>
      <w:r w:rsidRPr="00831397">
        <w:rPr>
          <w:lang w:val="en-US"/>
        </w:rPr>
        <w:lastRenderedPageBreak/>
        <w:t>As a reminder, we are currently at a concentration of 413.77 ppm of CO</w:t>
      </w:r>
      <w:r w:rsidRPr="00831397">
        <w:rPr>
          <w:vertAlign w:val="subscript"/>
          <w:lang w:val="en-US"/>
        </w:rPr>
        <w:t>2</w:t>
      </w:r>
      <w:r w:rsidRPr="00831397">
        <w:rPr>
          <w:lang w:val="en-US"/>
        </w:rPr>
        <w:t xml:space="preserve">in the atmosphere.  </w:t>
      </w:r>
    </w:p>
    <w:p w14:paraId="11B5F2FF" w14:textId="77777777" w:rsidR="004A3CD3" w:rsidRPr="00831397" w:rsidRDefault="006C0598">
      <w:pPr>
        <w:spacing w:after="264" w:line="248" w:lineRule="auto"/>
        <w:ind w:left="1015" w:right="787" w:hanging="566"/>
        <w:jc w:val="left"/>
        <w:rPr>
          <w:lang w:val="en-US"/>
        </w:rPr>
      </w:pPr>
      <w:r w:rsidRPr="00831397">
        <w:rPr>
          <w:b/>
          <w:i/>
          <w:lang w:val="en-US"/>
        </w:rPr>
        <w:t xml:space="preserve">c </w:t>
      </w:r>
      <w:r w:rsidRPr="00831397">
        <w:rPr>
          <w:b/>
          <w:i/>
          <w:u w:val="single" w:color="000000"/>
          <w:lang w:val="en-US"/>
        </w:rPr>
        <w:t xml:space="preserve">Because of the linear relationship between increasing CO concentration </w:t>
      </w:r>
      <w:r w:rsidRPr="00831397">
        <w:rPr>
          <w:b/>
          <w:i/>
          <w:u w:val="single" w:color="000000"/>
          <w:vertAlign w:val="subscript"/>
          <w:lang w:val="en-US"/>
        </w:rPr>
        <w:t xml:space="preserve">2 </w:t>
      </w:r>
      <w:r w:rsidRPr="00831397">
        <w:rPr>
          <w:b/>
          <w:i/>
          <w:u w:val="single" w:color="000000"/>
          <w:lang w:val="en-US"/>
        </w:rPr>
        <w:t xml:space="preserve">and global warming </w:t>
      </w:r>
    </w:p>
    <w:p w14:paraId="0C37EE31" w14:textId="77777777" w:rsidR="004A3CD3" w:rsidRPr="00831397" w:rsidRDefault="006C0598">
      <w:pPr>
        <w:ind w:left="1030" w:right="794" w:hanging="566"/>
        <w:rPr>
          <w:lang w:val="en-US"/>
        </w:rPr>
      </w:pPr>
      <w:r w:rsidRPr="00831397">
        <w:rPr>
          <w:lang w:val="en-US"/>
        </w:rPr>
        <w:t>28. The relationship between the increase in the concentration of CO</w:t>
      </w:r>
      <w:r w:rsidRPr="00831397">
        <w:rPr>
          <w:vertAlign w:val="subscript"/>
          <w:lang w:val="en-US"/>
        </w:rPr>
        <w:t>2</w:t>
      </w:r>
      <w:r w:rsidRPr="00831397">
        <w:rPr>
          <w:lang w:val="en-US"/>
        </w:rPr>
        <w:t xml:space="preserve"> in the atmosphere and the increase in temperature on earth is </w:t>
      </w:r>
      <w:r w:rsidRPr="00831397">
        <w:rPr>
          <w:b/>
          <w:lang w:val="en-US"/>
        </w:rPr>
        <w:t>linear</w:t>
      </w:r>
      <w:r>
        <w:rPr>
          <w:sz w:val="20"/>
          <w:vertAlign w:val="superscript"/>
        </w:rPr>
        <w:footnoteReference w:id="23"/>
      </w:r>
      <w:r w:rsidRPr="00831397">
        <w:rPr>
          <w:lang w:val="en-US"/>
        </w:rPr>
        <w:t xml:space="preserve">. This relationship is shown in the diagram below. The CO concentrations </w:t>
      </w:r>
      <w:r w:rsidRPr="00831397">
        <w:rPr>
          <w:vertAlign w:val="subscript"/>
          <w:lang w:val="en-US"/>
        </w:rPr>
        <w:t>2</w:t>
      </w:r>
      <w:r w:rsidRPr="00831397">
        <w:rPr>
          <w:lang w:val="en-US"/>
        </w:rPr>
        <w:t>(ppm CO</w:t>
      </w:r>
      <w:r w:rsidRPr="00831397">
        <w:rPr>
          <w:vertAlign w:val="subscript"/>
          <w:lang w:val="en-US"/>
        </w:rPr>
        <w:t>2</w:t>
      </w:r>
      <w:r w:rsidRPr="00831397">
        <w:rPr>
          <w:lang w:val="en-US"/>
        </w:rPr>
        <w:t xml:space="preserve"> ) are shown in pink, with margins that take into account different modelling. The ovals indicate ranges of GHG concentrations for all scenarios (ppm CO eq.</w:t>
      </w:r>
      <w:r w:rsidRPr="00831397">
        <w:rPr>
          <w:vertAlign w:val="subscript"/>
          <w:lang w:val="en-US"/>
        </w:rPr>
        <w:t>2</w:t>
      </w:r>
      <w:r w:rsidRPr="00831397">
        <w:rPr>
          <w:lang w:val="en-US"/>
        </w:rPr>
        <w:t xml:space="preserve">). It is clear that the increase in CO emissions </w:t>
      </w:r>
      <w:r w:rsidRPr="00831397">
        <w:rPr>
          <w:vertAlign w:val="subscript"/>
          <w:lang w:val="en-US"/>
        </w:rPr>
        <w:t xml:space="preserve">2 </w:t>
      </w:r>
      <w:r w:rsidRPr="00831397">
        <w:rPr>
          <w:lang w:val="en-US"/>
        </w:rPr>
        <w:t xml:space="preserve">(horizontal axis of the diagram) goes hand in hand with an increase in global average temperature (vertical axis of the diagram). </w:t>
      </w:r>
    </w:p>
    <w:p w14:paraId="58B98133" w14:textId="77777777" w:rsidR="00E933CB" w:rsidRPr="00831397" w:rsidRDefault="00825B93">
      <w:pPr>
        <w:spacing w:after="22" w:line="259" w:lineRule="auto"/>
        <w:ind w:left="1882" w:right="0" w:firstLine="0"/>
        <w:jc w:val="left"/>
        <w:rPr>
          <w:lang w:val="en-US"/>
        </w:rPr>
      </w:pPr>
      <w:r w:rsidRPr="00831397">
        <w:rPr>
          <w:lang w:val="en-US"/>
        </w:rPr>
        <w:t xml:space="preserve"> </w:t>
      </w:r>
      <w:r>
        <w:rPr>
          <w:noProof/>
        </w:rPr>
        <w:drawing>
          <wp:inline distT="0" distB="0" distL="0" distR="0" wp14:anchorId="3CBEF4E8" wp14:editId="04C62A12">
            <wp:extent cx="3418840" cy="2753233"/>
            <wp:effectExtent l="0" t="0" r="0" b="0"/>
            <wp:docPr id="3116" name="Picture 3116"/>
            <wp:cNvGraphicFramePr/>
            <a:graphic xmlns:a="http://schemas.openxmlformats.org/drawingml/2006/main">
              <a:graphicData uri="http://schemas.openxmlformats.org/drawingml/2006/picture">
                <pic:pic xmlns:pic="http://schemas.openxmlformats.org/drawingml/2006/picture">
                  <pic:nvPicPr>
                    <pic:cNvPr id="3116" name="Picture 3116"/>
                    <pic:cNvPicPr/>
                  </pic:nvPicPr>
                  <pic:blipFill>
                    <a:blip r:embed="rId20"/>
                    <a:stretch>
                      <a:fillRect/>
                    </a:stretch>
                  </pic:blipFill>
                  <pic:spPr>
                    <a:xfrm>
                      <a:off x="0" y="0"/>
                      <a:ext cx="3418840" cy="2753233"/>
                    </a:xfrm>
                    <a:prstGeom prst="rect">
                      <a:avLst/>
                    </a:prstGeom>
                  </pic:spPr>
                </pic:pic>
              </a:graphicData>
            </a:graphic>
          </wp:inline>
        </w:drawing>
      </w:r>
      <w:r w:rsidRPr="00831397">
        <w:rPr>
          <w:lang w:val="en-US"/>
        </w:rPr>
        <w:t xml:space="preserve"> </w:t>
      </w:r>
    </w:p>
    <w:p w14:paraId="5F9E7298" w14:textId="77777777" w:rsidR="004A3CD3" w:rsidRPr="00831397" w:rsidRDefault="006C0598">
      <w:pPr>
        <w:pStyle w:val="Heading2"/>
        <w:spacing w:after="212" w:line="259" w:lineRule="auto"/>
        <w:ind w:left="0" w:right="1031" w:firstLine="0"/>
        <w:jc w:val="right"/>
        <w:rPr>
          <w:lang w:val="en-US"/>
        </w:rPr>
      </w:pPr>
      <w:bookmarkStart w:id="5" w:name="_Toc179572"/>
      <w:r w:rsidRPr="00831397">
        <w:rPr>
          <w:i/>
          <w:lang w:val="en-US"/>
        </w:rPr>
        <w:t xml:space="preserve">Figure 5: </w:t>
      </w:r>
      <w:r w:rsidRPr="00831397">
        <w:rPr>
          <w:lang w:val="en-US"/>
        </w:rPr>
        <w:t>Relationship between global warming and cumulative CO</w:t>
      </w:r>
      <w:r w:rsidRPr="00831397">
        <w:rPr>
          <w:vertAlign w:val="subscript"/>
          <w:lang w:val="en-US"/>
        </w:rPr>
        <w:t>2</w:t>
      </w:r>
      <w:r w:rsidRPr="00831397">
        <w:rPr>
          <w:lang w:val="en-US"/>
        </w:rPr>
        <w:t xml:space="preserve">and GHG emissions </w:t>
      </w:r>
      <w:bookmarkEnd w:id="5"/>
    </w:p>
    <w:p w14:paraId="5C9F0EBA" w14:textId="77777777" w:rsidR="00E933CB" w:rsidRPr="00831397" w:rsidRDefault="00825B93">
      <w:pPr>
        <w:spacing w:after="0" w:line="259" w:lineRule="auto"/>
        <w:ind w:left="464" w:right="0" w:firstLine="0"/>
        <w:jc w:val="left"/>
        <w:rPr>
          <w:lang w:val="en-US"/>
        </w:rPr>
      </w:pPr>
      <w:r w:rsidRPr="00831397">
        <w:rPr>
          <w:i/>
          <w:lang w:val="en-US"/>
        </w:rPr>
        <w:t xml:space="preserve"> </w:t>
      </w:r>
      <w:r w:rsidRPr="00831397">
        <w:rPr>
          <w:i/>
          <w:lang w:val="en-US"/>
        </w:rPr>
        <w:tab/>
        <w:t xml:space="preserve"> </w:t>
      </w:r>
      <w:r w:rsidRPr="00831397">
        <w:rPr>
          <w:lang w:val="en-US"/>
        </w:rPr>
        <w:br w:type="page"/>
      </w:r>
    </w:p>
    <w:p w14:paraId="5D04E9C8" w14:textId="77777777" w:rsidR="00E933CB" w:rsidRPr="00831397" w:rsidRDefault="00825B93">
      <w:pPr>
        <w:spacing w:after="246" w:line="259" w:lineRule="auto"/>
        <w:ind w:left="1030" w:right="0" w:firstLine="0"/>
        <w:jc w:val="left"/>
        <w:rPr>
          <w:lang w:val="en-US"/>
        </w:rPr>
      </w:pPr>
      <w:r w:rsidRPr="00831397">
        <w:rPr>
          <w:lang w:val="en-US"/>
        </w:rPr>
        <w:lastRenderedPageBreak/>
        <w:t xml:space="preserve"> </w:t>
      </w:r>
    </w:p>
    <w:p w14:paraId="2089934C" w14:textId="77777777" w:rsidR="004A3CD3" w:rsidRPr="00831397" w:rsidRDefault="006C0598">
      <w:pPr>
        <w:tabs>
          <w:tab w:val="center" w:pos="604"/>
          <w:tab w:val="center" w:pos="4618"/>
        </w:tabs>
        <w:spacing w:after="73"/>
        <w:ind w:left="0" w:right="0" w:firstLine="0"/>
        <w:jc w:val="left"/>
        <w:rPr>
          <w:lang w:val="en-US"/>
        </w:rPr>
      </w:pPr>
      <w:r w:rsidRPr="00831397">
        <w:rPr>
          <w:lang w:val="en-US"/>
        </w:rPr>
        <w:tab/>
        <w:t xml:space="preserve">29. </w:t>
      </w:r>
      <w:r w:rsidRPr="00831397">
        <w:rPr>
          <w:rFonts w:ascii="Arial" w:eastAsia="Arial" w:hAnsi="Arial" w:cs="Arial"/>
          <w:lang w:val="en-US"/>
        </w:rPr>
        <w:tab/>
      </w:r>
      <w:r w:rsidRPr="00831397">
        <w:rPr>
          <w:lang w:val="en-US"/>
        </w:rPr>
        <w:t xml:space="preserve"> AR6, part one, provides a very illustrative diagram in this regard as well</w:t>
      </w:r>
      <w:r>
        <w:rPr>
          <w:sz w:val="20"/>
          <w:vertAlign w:val="superscript"/>
        </w:rPr>
        <w:footnoteReference w:id="24"/>
      </w:r>
      <w:r w:rsidRPr="00831397">
        <w:rPr>
          <w:lang w:val="en-US"/>
        </w:rPr>
        <w:t xml:space="preserve">. </w:t>
      </w:r>
    </w:p>
    <w:p w14:paraId="58E484D4" w14:textId="77777777" w:rsidR="00E933CB" w:rsidRPr="00831397" w:rsidRDefault="00825B93">
      <w:pPr>
        <w:spacing w:after="23" w:line="259" w:lineRule="auto"/>
        <w:ind w:left="0" w:right="677" w:firstLine="0"/>
        <w:jc w:val="right"/>
        <w:rPr>
          <w:lang w:val="en-US"/>
        </w:rPr>
      </w:pPr>
      <w:r>
        <w:rPr>
          <w:noProof/>
        </w:rPr>
        <w:drawing>
          <wp:inline distT="0" distB="0" distL="0" distR="0" wp14:anchorId="4148BA73" wp14:editId="1E259350">
            <wp:extent cx="5358765" cy="4896739"/>
            <wp:effectExtent l="0" t="0" r="0" b="0"/>
            <wp:docPr id="3227" name="Picture 3227"/>
            <wp:cNvGraphicFramePr/>
            <a:graphic xmlns:a="http://schemas.openxmlformats.org/drawingml/2006/main">
              <a:graphicData uri="http://schemas.openxmlformats.org/drawingml/2006/picture">
                <pic:pic xmlns:pic="http://schemas.openxmlformats.org/drawingml/2006/picture">
                  <pic:nvPicPr>
                    <pic:cNvPr id="3227" name="Picture 3227"/>
                    <pic:cNvPicPr/>
                  </pic:nvPicPr>
                  <pic:blipFill>
                    <a:blip r:embed="rId21"/>
                    <a:stretch>
                      <a:fillRect/>
                    </a:stretch>
                  </pic:blipFill>
                  <pic:spPr>
                    <a:xfrm>
                      <a:off x="0" y="0"/>
                      <a:ext cx="5358765" cy="4896739"/>
                    </a:xfrm>
                    <a:prstGeom prst="rect">
                      <a:avLst/>
                    </a:prstGeom>
                  </pic:spPr>
                </pic:pic>
              </a:graphicData>
            </a:graphic>
          </wp:inline>
        </w:drawing>
      </w:r>
      <w:r w:rsidRPr="00831397">
        <w:rPr>
          <w:lang w:val="en-US"/>
        </w:rPr>
        <w:t xml:space="preserve"> </w:t>
      </w:r>
    </w:p>
    <w:p w14:paraId="51C89806" w14:textId="77777777" w:rsidR="004A3CD3" w:rsidRPr="00831397" w:rsidRDefault="006C0598">
      <w:pPr>
        <w:pStyle w:val="Heading2"/>
        <w:ind w:left="1025"/>
        <w:rPr>
          <w:lang w:val="en-US"/>
        </w:rPr>
      </w:pPr>
      <w:bookmarkStart w:id="6" w:name="_Toc179573"/>
      <w:r w:rsidRPr="00831397">
        <w:rPr>
          <w:i/>
          <w:lang w:val="en-US"/>
        </w:rPr>
        <w:t xml:space="preserve">Figure 6. </w:t>
      </w:r>
      <w:r w:rsidRPr="00831397">
        <w:rPr>
          <w:lang w:val="en-US"/>
        </w:rPr>
        <w:t>Relationship between global warming and cumulative CO</w:t>
      </w:r>
      <w:r w:rsidRPr="00831397">
        <w:rPr>
          <w:vertAlign w:val="subscript"/>
          <w:lang w:val="en-US"/>
        </w:rPr>
        <w:t>2</w:t>
      </w:r>
      <w:bookmarkEnd w:id="6"/>
    </w:p>
    <w:p w14:paraId="177D044F" w14:textId="77777777" w:rsidR="004A3CD3" w:rsidRPr="00831397" w:rsidRDefault="006C0598">
      <w:pPr>
        <w:spacing w:after="267"/>
        <w:ind w:left="1015" w:right="794"/>
        <w:rPr>
          <w:lang w:val="en-US"/>
        </w:rPr>
      </w:pPr>
      <w:r w:rsidRPr="00831397">
        <w:rPr>
          <w:lang w:val="en-US"/>
        </w:rPr>
        <w:t>This linear relationship between cumulative CO emissions</w:t>
      </w:r>
      <w:r w:rsidRPr="00831397">
        <w:rPr>
          <w:vertAlign w:val="subscript"/>
          <w:lang w:val="en-US"/>
        </w:rPr>
        <w:t>2</w:t>
      </w:r>
      <w:r w:rsidRPr="00831397">
        <w:rPr>
          <w:lang w:val="en-US"/>
        </w:rPr>
        <w:t xml:space="preserve"> and global warming forms the basis of the </w:t>
      </w:r>
      <w:r w:rsidRPr="00831397">
        <w:rPr>
          <w:b/>
          <w:lang w:val="en-US"/>
        </w:rPr>
        <w:t xml:space="preserve">carbon budget concept </w:t>
      </w:r>
      <w:r w:rsidRPr="00831397">
        <w:rPr>
          <w:lang w:val="en-US"/>
        </w:rPr>
        <w:t>in climate science. The carbon budget represents the total amount of CO</w:t>
      </w:r>
      <w:r w:rsidRPr="00831397">
        <w:rPr>
          <w:vertAlign w:val="subscript"/>
          <w:lang w:val="en-US"/>
        </w:rPr>
        <w:t>2</w:t>
      </w:r>
      <w:r w:rsidRPr="00831397">
        <w:rPr>
          <w:lang w:val="en-US"/>
        </w:rPr>
        <w:t>that can be present in the atmosphere and that must not be exceeded if we want to stay below a certain global temperature threshold. This allows reasoning along the lines of: "</w:t>
      </w:r>
      <w:r w:rsidRPr="00831397">
        <w:rPr>
          <w:i/>
          <w:lang w:val="en-US"/>
        </w:rPr>
        <w:t xml:space="preserve">We want to limit global warming to 3°C </w:t>
      </w:r>
      <w:r w:rsidRPr="00831397">
        <w:rPr>
          <w:b/>
          <w:i/>
          <w:lang w:val="en-US"/>
        </w:rPr>
        <w:t xml:space="preserve">so </w:t>
      </w:r>
      <w:r w:rsidRPr="00831397">
        <w:rPr>
          <w:i/>
          <w:lang w:val="en-US"/>
        </w:rPr>
        <w:t>we must limit CO emissions</w:t>
      </w:r>
      <w:r w:rsidRPr="00831397">
        <w:rPr>
          <w:lang w:val="en-US"/>
        </w:rPr>
        <w:t xml:space="preserve"> </w:t>
      </w:r>
      <w:r w:rsidRPr="00831397">
        <w:rPr>
          <w:vertAlign w:val="subscript"/>
          <w:lang w:val="en-US"/>
        </w:rPr>
        <w:t>2</w:t>
      </w:r>
      <w:r w:rsidRPr="00831397">
        <w:rPr>
          <w:i/>
          <w:lang w:val="en-US"/>
        </w:rPr>
        <w:t>to that much</w:t>
      </w:r>
      <w:r w:rsidRPr="00831397">
        <w:rPr>
          <w:lang w:val="en-US"/>
        </w:rPr>
        <w:t xml:space="preserve">". </w:t>
      </w:r>
    </w:p>
    <w:p w14:paraId="321B1448" w14:textId="77777777" w:rsidR="004A3CD3" w:rsidRPr="00831397" w:rsidRDefault="006C0598">
      <w:pPr>
        <w:numPr>
          <w:ilvl w:val="0"/>
          <w:numId w:val="15"/>
        </w:numPr>
        <w:spacing w:after="11" w:line="248" w:lineRule="auto"/>
        <w:ind w:right="792" w:hanging="566"/>
        <w:rPr>
          <w:lang w:val="en-US"/>
        </w:rPr>
      </w:pPr>
      <w:r w:rsidRPr="00831397">
        <w:rPr>
          <w:lang w:val="en-US"/>
        </w:rPr>
        <w:t xml:space="preserve">The </w:t>
      </w:r>
      <w:r w:rsidRPr="00831397">
        <w:rPr>
          <w:b/>
          <w:lang w:val="en-US"/>
        </w:rPr>
        <w:t xml:space="preserve">residual carbon budget </w:t>
      </w:r>
      <w:r w:rsidRPr="00831397">
        <w:rPr>
          <w:lang w:val="en-US"/>
        </w:rPr>
        <w:t>is the amount of CO</w:t>
      </w:r>
      <w:r w:rsidRPr="00831397">
        <w:rPr>
          <w:b/>
          <w:lang w:val="en-US"/>
        </w:rPr>
        <w:t xml:space="preserve"> that </w:t>
      </w:r>
      <w:r w:rsidRPr="00831397">
        <w:rPr>
          <w:vertAlign w:val="subscript"/>
          <w:lang w:val="en-US"/>
        </w:rPr>
        <w:t>2</w:t>
      </w:r>
      <w:r w:rsidRPr="00831397">
        <w:rPr>
          <w:lang w:val="en-US"/>
        </w:rPr>
        <w:t xml:space="preserve">can still be emitted.  </w:t>
      </w:r>
    </w:p>
    <w:p w14:paraId="53E5CFDE" w14:textId="77777777" w:rsidR="00E933CB" w:rsidRPr="00831397" w:rsidRDefault="00825B93">
      <w:pPr>
        <w:spacing w:after="0" w:line="259" w:lineRule="auto"/>
        <w:ind w:left="464" w:right="0" w:firstLine="0"/>
        <w:jc w:val="left"/>
        <w:rPr>
          <w:lang w:val="en-US"/>
        </w:rPr>
      </w:pPr>
      <w:r w:rsidRPr="00831397">
        <w:rPr>
          <w:lang w:val="en-US"/>
        </w:rPr>
        <w:t xml:space="preserve"> </w:t>
      </w:r>
      <w:r w:rsidRPr="00831397">
        <w:rPr>
          <w:lang w:val="en-US"/>
        </w:rPr>
        <w:tab/>
        <w:t xml:space="preserve"> </w:t>
      </w:r>
    </w:p>
    <w:p w14:paraId="32645CF4" w14:textId="77777777" w:rsidR="004A3CD3" w:rsidRPr="00831397" w:rsidRDefault="006C0598">
      <w:pPr>
        <w:numPr>
          <w:ilvl w:val="0"/>
          <w:numId w:val="15"/>
        </w:numPr>
        <w:spacing w:after="66"/>
        <w:ind w:right="792" w:hanging="566"/>
        <w:rPr>
          <w:lang w:val="en-US"/>
        </w:rPr>
      </w:pPr>
      <w:r w:rsidRPr="00831397">
        <w:rPr>
          <w:lang w:val="en-US"/>
        </w:rPr>
        <w:t xml:space="preserve">These notions can be illustrated with the image of the bathtub:  </w:t>
      </w:r>
    </w:p>
    <w:p w14:paraId="4F4EC64B" w14:textId="77777777" w:rsidR="00E933CB" w:rsidRPr="00831397" w:rsidRDefault="00825B93">
      <w:pPr>
        <w:spacing w:after="21" w:line="259" w:lineRule="auto"/>
        <w:ind w:left="0" w:right="1375" w:firstLine="0"/>
        <w:jc w:val="right"/>
        <w:rPr>
          <w:lang w:val="en-US"/>
        </w:rPr>
      </w:pPr>
      <w:r>
        <w:rPr>
          <w:noProof/>
        </w:rPr>
        <w:lastRenderedPageBreak/>
        <w:drawing>
          <wp:inline distT="0" distB="0" distL="0" distR="0" wp14:anchorId="22912D1F" wp14:editId="367CB58F">
            <wp:extent cx="4911979" cy="3596640"/>
            <wp:effectExtent l="0" t="0" r="0" b="0"/>
            <wp:docPr id="3329" name="Picture 3329"/>
            <wp:cNvGraphicFramePr/>
            <a:graphic xmlns:a="http://schemas.openxmlformats.org/drawingml/2006/main">
              <a:graphicData uri="http://schemas.openxmlformats.org/drawingml/2006/picture">
                <pic:pic xmlns:pic="http://schemas.openxmlformats.org/drawingml/2006/picture">
                  <pic:nvPicPr>
                    <pic:cNvPr id="3329" name="Picture 3329"/>
                    <pic:cNvPicPr/>
                  </pic:nvPicPr>
                  <pic:blipFill>
                    <a:blip r:embed="rId22"/>
                    <a:stretch>
                      <a:fillRect/>
                    </a:stretch>
                  </pic:blipFill>
                  <pic:spPr>
                    <a:xfrm>
                      <a:off x="0" y="0"/>
                      <a:ext cx="4911979" cy="3596640"/>
                    </a:xfrm>
                    <a:prstGeom prst="rect">
                      <a:avLst/>
                    </a:prstGeom>
                  </pic:spPr>
                </pic:pic>
              </a:graphicData>
            </a:graphic>
          </wp:inline>
        </w:drawing>
      </w:r>
      <w:r w:rsidRPr="00831397">
        <w:rPr>
          <w:lang w:val="en-US"/>
        </w:rPr>
        <w:t xml:space="preserve"> </w:t>
      </w:r>
    </w:p>
    <w:p w14:paraId="1C1A1A4B" w14:textId="77777777" w:rsidR="004A3CD3" w:rsidRPr="00831397" w:rsidRDefault="006C0598">
      <w:pPr>
        <w:pStyle w:val="Heading2"/>
        <w:spacing w:after="278"/>
        <w:ind w:left="1025" w:right="0"/>
        <w:rPr>
          <w:lang w:val="en-US"/>
        </w:rPr>
      </w:pPr>
      <w:bookmarkStart w:id="7" w:name="_Toc179574"/>
      <w:r w:rsidRPr="00831397">
        <w:rPr>
          <w:i/>
          <w:lang w:val="en-US"/>
        </w:rPr>
        <w:t xml:space="preserve">Figure 7 - </w:t>
      </w:r>
      <w:r w:rsidRPr="00831397">
        <w:rPr>
          <w:lang w:val="en-US"/>
        </w:rPr>
        <w:t xml:space="preserve">Illustrative diagram of the 'bathtub </w:t>
      </w:r>
      <w:bookmarkEnd w:id="7"/>
    </w:p>
    <w:p w14:paraId="306F6A11" w14:textId="77777777" w:rsidR="004A3CD3" w:rsidRPr="00831397" w:rsidRDefault="006C0598">
      <w:pPr>
        <w:numPr>
          <w:ilvl w:val="0"/>
          <w:numId w:val="16"/>
        </w:numPr>
        <w:ind w:right="794" w:hanging="566"/>
        <w:rPr>
          <w:lang w:val="en-US"/>
        </w:rPr>
      </w:pPr>
      <w:r w:rsidRPr="00831397">
        <w:rPr>
          <w:lang w:val="en-US"/>
        </w:rPr>
        <w:t xml:space="preserve">If the edge of the bath is the maximum desired temperature, the carbon budget is the entire bath. The residual carbon budget is the margin/space available between the volume already in the bath (yellow) and the edge of the bath.  </w:t>
      </w:r>
    </w:p>
    <w:p w14:paraId="3D44D835" w14:textId="77777777" w:rsidR="004A3CD3" w:rsidRPr="00831397" w:rsidRDefault="006C0598">
      <w:pPr>
        <w:spacing w:after="266" w:line="248" w:lineRule="auto"/>
        <w:ind w:left="1040" w:right="791" w:hanging="10"/>
        <w:rPr>
          <w:lang w:val="en-US"/>
        </w:rPr>
      </w:pPr>
      <w:r w:rsidRPr="00831397">
        <w:rPr>
          <w:lang w:val="en-US"/>
        </w:rPr>
        <w:t xml:space="preserve">The importance of these two concepts, carbon budget and residual carbon budget, deserves to be emphasized. They are one of the </w:t>
      </w:r>
      <w:r w:rsidRPr="00831397">
        <w:rPr>
          <w:b/>
          <w:lang w:val="en-US"/>
        </w:rPr>
        <w:t xml:space="preserve">key elements of </w:t>
      </w:r>
      <w:r w:rsidRPr="00831397">
        <w:rPr>
          <w:lang w:val="en-US"/>
        </w:rPr>
        <w:t xml:space="preserve">global, regional and local </w:t>
      </w:r>
      <w:r w:rsidRPr="00831397">
        <w:rPr>
          <w:b/>
          <w:lang w:val="en-US"/>
        </w:rPr>
        <w:t xml:space="preserve">climate governance. </w:t>
      </w:r>
    </w:p>
    <w:p w14:paraId="15272E6A" w14:textId="77777777" w:rsidR="004A3CD3" w:rsidRPr="00831397" w:rsidRDefault="006C0598">
      <w:pPr>
        <w:numPr>
          <w:ilvl w:val="0"/>
          <w:numId w:val="16"/>
        </w:numPr>
        <w:spacing w:after="266"/>
        <w:ind w:right="794" w:hanging="566"/>
        <w:rPr>
          <w:lang w:val="en-US"/>
        </w:rPr>
      </w:pPr>
      <w:r w:rsidRPr="00831397">
        <w:rPr>
          <w:lang w:val="en-US"/>
        </w:rPr>
        <w:t xml:space="preserve">We will see that the IPCC has been working to determine the carbon budget and the residual carbon budget (in ppm) for what should be considered </w:t>
      </w:r>
      <w:r w:rsidRPr="00831397">
        <w:rPr>
          <w:b/>
          <w:lang w:val="en-US"/>
        </w:rPr>
        <w:t>dangerous warming</w:t>
      </w:r>
      <w:r w:rsidRPr="00831397">
        <w:rPr>
          <w:lang w:val="en-US"/>
        </w:rPr>
        <w:t xml:space="preserve">. The threshold for dangerous warming was initially set at 2°C, but was later abandoned in favour of 1.5°C.  </w:t>
      </w:r>
    </w:p>
    <w:p w14:paraId="1B2C6516" w14:textId="77777777" w:rsidR="004A3CD3" w:rsidRPr="00831397" w:rsidRDefault="006C0598">
      <w:pPr>
        <w:tabs>
          <w:tab w:val="center" w:pos="551"/>
          <w:tab w:val="center" w:pos="2766"/>
        </w:tabs>
        <w:spacing w:after="264" w:line="248" w:lineRule="auto"/>
        <w:ind w:left="0" w:right="0" w:firstLine="0"/>
        <w:jc w:val="left"/>
        <w:rPr>
          <w:lang w:val="en-US"/>
        </w:rPr>
      </w:pPr>
      <w:r w:rsidRPr="00831397">
        <w:rPr>
          <w:lang w:val="en-US"/>
        </w:rPr>
        <w:tab/>
      </w:r>
      <w:r w:rsidRPr="00831397">
        <w:rPr>
          <w:b/>
          <w:i/>
          <w:lang w:val="en-US"/>
        </w:rPr>
        <w:t xml:space="preserve">C. </w:t>
      </w:r>
      <w:r w:rsidRPr="00831397">
        <w:rPr>
          <w:rFonts w:ascii="Arial" w:eastAsia="Arial" w:hAnsi="Arial" w:cs="Arial"/>
          <w:b/>
          <w:i/>
          <w:lang w:val="en-US"/>
        </w:rPr>
        <w:tab/>
      </w:r>
      <w:r w:rsidRPr="00831397">
        <w:rPr>
          <w:b/>
          <w:i/>
          <w:u w:val="single" w:color="000000"/>
          <w:lang w:val="en-US"/>
        </w:rPr>
        <w:t xml:space="preserve">Progressive and latent damage </w:t>
      </w:r>
      <w:r w:rsidRPr="00831397">
        <w:rPr>
          <w:b/>
          <w:i/>
          <w:lang w:val="en-US"/>
        </w:rPr>
        <w:t xml:space="preserve">: </w:t>
      </w:r>
    </w:p>
    <w:p w14:paraId="112EC8E6" w14:textId="77777777" w:rsidR="004A3CD3" w:rsidRPr="00831397" w:rsidRDefault="006C0598">
      <w:pPr>
        <w:numPr>
          <w:ilvl w:val="0"/>
          <w:numId w:val="17"/>
        </w:numPr>
        <w:spacing w:after="267"/>
        <w:ind w:right="794" w:hanging="566"/>
        <w:rPr>
          <w:lang w:val="en-US"/>
        </w:rPr>
      </w:pPr>
      <w:r w:rsidRPr="00831397">
        <w:rPr>
          <w:lang w:val="en-US"/>
        </w:rPr>
        <w:t xml:space="preserve">A specific feature of climate cause data is the gradual and latent nature of the effects caused by GHG emissions. </w:t>
      </w:r>
    </w:p>
    <w:p w14:paraId="4ADDD31B" w14:textId="77777777" w:rsidR="004A3CD3" w:rsidRPr="00831397" w:rsidRDefault="006C0598">
      <w:pPr>
        <w:numPr>
          <w:ilvl w:val="0"/>
          <w:numId w:val="17"/>
        </w:numPr>
        <w:ind w:right="794" w:hanging="566"/>
        <w:rPr>
          <w:lang w:val="en-US"/>
        </w:rPr>
      </w:pPr>
      <w:r w:rsidRPr="00831397">
        <w:rPr>
          <w:i/>
          <w:lang w:val="en-US"/>
        </w:rPr>
        <w:t xml:space="preserve">Progressive </w:t>
      </w:r>
      <w:r w:rsidRPr="00831397">
        <w:rPr>
          <w:lang w:val="en-US"/>
        </w:rPr>
        <w:t xml:space="preserve">because the damage from global warming does not occur fully at any one time, but increases progressively as a result of the </w:t>
      </w:r>
      <w:r w:rsidRPr="00831397">
        <w:rPr>
          <w:b/>
          <w:lang w:val="en-US"/>
        </w:rPr>
        <w:t xml:space="preserve">cumulative effects </w:t>
      </w:r>
      <w:r w:rsidRPr="00831397">
        <w:rPr>
          <w:lang w:val="en-US"/>
        </w:rPr>
        <w:t xml:space="preserve">of concentrations. </w:t>
      </w:r>
    </w:p>
    <w:p w14:paraId="3AF88B73" w14:textId="77777777" w:rsidR="004A3CD3" w:rsidRPr="00831397" w:rsidRDefault="006C0598">
      <w:pPr>
        <w:numPr>
          <w:ilvl w:val="0"/>
          <w:numId w:val="17"/>
        </w:numPr>
        <w:spacing w:after="145"/>
        <w:ind w:right="794" w:hanging="566"/>
        <w:rPr>
          <w:lang w:val="en-US"/>
        </w:rPr>
      </w:pPr>
      <w:r w:rsidRPr="00831397">
        <w:rPr>
          <w:i/>
          <w:lang w:val="en-US"/>
        </w:rPr>
        <w:t xml:space="preserve">Latent </w:t>
      </w:r>
      <w:r w:rsidRPr="00831397">
        <w:rPr>
          <w:lang w:val="en-US"/>
        </w:rPr>
        <w:t>because global warming, which causes climate change and damage, takes place with a time lag of about 40 years compared to the emissions that cause it</w:t>
      </w:r>
      <w:r>
        <w:rPr>
          <w:sz w:val="20"/>
          <w:vertAlign w:val="superscript"/>
        </w:rPr>
        <w:footnoteReference w:id="25"/>
      </w:r>
      <w:r w:rsidRPr="00831397">
        <w:rPr>
          <w:lang w:val="en-US"/>
        </w:rPr>
        <w:t xml:space="preserve">. </w:t>
      </w:r>
    </w:p>
    <w:p w14:paraId="6C0A900B" w14:textId="77777777" w:rsidR="004A3CD3" w:rsidRPr="00831397" w:rsidRDefault="006C0598">
      <w:pPr>
        <w:spacing w:after="276"/>
        <w:ind w:left="1015" w:right="794"/>
        <w:rPr>
          <w:lang w:val="en-US"/>
        </w:rPr>
      </w:pPr>
      <w:r w:rsidRPr="00831397">
        <w:rPr>
          <w:lang w:val="en-US"/>
        </w:rPr>
        <w:lastRenderedPageBreak/>
        <w:t>The current global warming of more than 1°C is therefore mainly the consequence of the GHG emissions produced between 1750 and 1980. If global GHG emissions stop abruptly today, the global temperature will continue to rise exponentially for decades before stabilizing</w:t>
      </w:r>
      <w:r>
        <w:rPr>
          <w:sz w:val="20"/>
          <w:vertAlign w:val="superscript"/>
        </w:rPr>
        <w:footnoteReference w:id="26"/>
      </w:r>
      <w:r w:rsidRPr="00831397">
        <w:rPr>
          <w:lang w:val="en-US"/>
        </w:rPr>
        <w:t xml:space="preserve">, especially in view of the meteoric rise in CO emissions </w:t>
      </w:r>
      <w:r w:rsidRPr="00831397">
        <w:rPr>
          <w:vertAlign w:val="subscript"/>
          <w:lang w:val="en-US"/>
        </w:rPr>
        <w:t>2</w:t>
      </w:r>
      <w:r w:rsidRPr="00831397">
        <w:rPr>
          <w:lang w:val="en-US"/>
        </w:rPr>
        <w:t>in the period from 1980 to now</w:t>
      </w:r>
      <w:r>
        <w:rPr>
          <w:sz w:val="20"/>
          <w:vertAlign w:val="superscript"/>
        </w:rPr>
        <w:footnoteReference w:id="27"/>
      </w:r>
      <w:r w:rsidRPr="00831397">
        <w:rPr>
          <w:lang w:val="en-US"/>
        </w:rPr>
        <w:t xml:space="preserve">. </w:t>
      </w:r>
    </w:p>
    <w:p w14:paraId="6C44EAF5" w14:textId="77777777" w:rsidR="004A3CD3" w:rsidRPr="00831397" w:rsidRDefault="006C0598">
      <w:pPr>
        <w:spacing w:after="262" w:line="249" w:lineRule="auto"/>
        <w:ind w:left="459" w:right="789" w:hanging="10"/>
        <w:rPr>
          <w:lang w:val="en-US"/>
        </w:rPr>
      </w:pPr>
      <w:r w:rsidRPr="00831397">
        <w:rPr>
          <w:b/>
          <w:lang w:val="en-US"/>
        </w:rPr>
        <w:t xml:space="preserve">II.1.3 </w:t>
      </w:r>
      <w:r w:rsidRPr="00831397">
        <w:rPr>
          <w:b/>
          <w:u w:val="single" w:color="000000"/>
          <w:lang w:val="en-US"/>
        </w:rPr>
        <w:t xml:space="preserve">The key concept: dangerous global warming </w:t>
      </w:r>
    </w:p>
    <w:p w14:paraId="2AF6A7AD" w14:textId="77777777" w:rsidR="004A3CD3" w:rsidRPr="00831397" w:rsidRDefault="006C0598">
      <w:pPr>
        <w:numPr>
          <w:ilvl w:val="0"/>
          <w:numId w:val="17"/>
        </w:numPr>
        <w:ind w:right="794" w:hanging="566"/>
        <w:rPr>
          <w:lang w:val="en-US"/>
        </w:rPr>
      </w:pPr>
      <w:r w:rsidRPr="00831397">
        <w:rPr>
          <w:lang w:val="en-US"/>
        </w:rPr>
        <w:t>The ultimate objective of the UNFCCC is to "</w:t>
      </w:r>
      <w:r w:rsidRPr="00831397">
        <w:rPr>
          <w:i/>
          <w:lang w:val="en-US"/>
        </w:rPr>
        <w:t xml:space="preserve">stabilize (...) concentrations of GHGs in the atmosphere at a level that would prevent </w:t>
      </w:r>
      <w:r w:rsidRPr="00831397">
        <w:rPr>
          <w:b/>
          <w:i/>
          <w:lang w:val="en-US"/>
        </w:rPr>
        <w:t xml:space="preserve">dangerous </w:t>
      </w:r>
      <w:r w:rsidRPr="00831397">
        <w:rPr>
          <w:i/>
          <w:lang w:val="en-US"/>
        </w:rPr>
        <w:t>anthropogenic interference with the climate system</w:t>
      </w:r>
      <w:r w:rsidRPr="00831397">
        <w:rPr>
          <w:lang w:val="en-US"/>
        </w:rPr>
        <w:t xml:space="preserve">". </w:t>
      </w:r>
    </w:p>
    <w:p w14:paraId="538B5643" w14:textId="77777777" w:rsidR="004A3CD3" w:rsidRPr="00831397" w:rsidRDefault="006C0598">
      <w:pPr>
        <w:ind w:left="1015" w:right="794"/>
        <w:rPr>
          <w:lang w:val="en-US"/>
        </w:rPr>
      </w:pPr>
      <w:r w:rsidRPr="00831397">
        <w:rPr>
          <w:lang w:val="en-US"/>
        </w:rPr>
        <w:t xml:space="preserve">The 197 Parties to the UNFCCC - 196 countries including Belgium and the European Union - have therefore committed themselves to taking dangerous global warming as a reference point. The crucial question is at what point does the increase in the average global temperature imply dangerous warming.  </w:t>
      </w:r>
    </w:p>
    <w:p w14:paraId="23792DF2" w14:textId="77777777" w:rsidR="004A3CD3" w:rsidRPr="00831397" w:rsidRDefault="006C0598">
      <w:pPr>
        <w:ind w:left="1015" w:right="794"/>
        <w:rPr>
          <w:lang w:val="en-US"/>
        </w:rPr>
      </w:pPr>
      <w:r w:rsidRPr="00831397">
        <w:rPr>
          <w:lang w:val="en-US"/>
        </w:rPr>
        <w:t xml:space="preserve">Since 1990, various scientific studies have identified the threshold of </w:t>
      </w:r>
      <w:r w:rsidRPr="00831397">
        <w:rPr>
          <w:b/>
          <w:lang w:val="en-US"/>
        </w:rPr>
        <w:t xml:space="preserve">2°C compared to </w:t>
      </w:r>
      <w:r w:rsidRPr="00831397">
        <w:rPr>
          <w:lang w:val="en-US"/>
        </w:rPr>
        <w:t xml:space="preserve">pre-industrial levels as the ultimate threshold that must not be exceeded.  </w:t>
      </w:r>
    </w:p>
    <w:p w14:paraId="7AE45C13" w14:textId="77777777" w:rsidR="004A3CD3" w:rsidRPr="00831397" w:rsidRDefault="006C0598">
      <w:pPr>
        <w:ind w:left="1015" w:right="794"/>
        <w:rPr>
          <w:lang w:val="en-US"/>
        </w:rPr>
      </w:pPr>
      <w:r w:rsidRPr="00831397">
        <w:rPr>
          <w:lang w:val="en-US"/>
        </w:rPr>
        <w:t xml:space="preserve">An unquestionable consensus has emerged within the international community around the threshold of 2°C, then progressively </w:t>
      </w:r>
      <w:r w:rsidRPr="00831397">
        <w:rPr>
          <w:b/>
          <w:lang w:val="en-US"/>
        </w:rPr>
        <w:t>1.5°C</w:t>
      </w:r>
      <w:r w:rsidRPr="00831397">
        <w:rPr>
          <w:lang w:val="en-US"/>
        </w:rPr>
        <w:t xml:space="preserve">, in light of the evolution of scientific knowledge.  </w:t>
      </w:r>
    </w:p>
    <w:p w14:paraId="25AD49D4" w14:textId="77777777" w:rsidR="004A3CD3" w:rsidRDefault="006C0598">
      <w:pPr>
        <w:spacing w:after="143"/>
        <w:ind w:left="1015" w:right="794"/>
      </w:pPr>
      <w:r>
        <w:t xml:space="preserve">To summarize:  </w:t>
      </w:r>
    </w:p>
    <w:p w14:paraId="03F6067D" w14:textId="77777777" w:rsidR="004A3CD3" w:rsidRPr="00831397" w:rsidRDefault="006C0598">
      <w:pPr>
        <w:numPr>
          <w:ilvl w:val="1"/>
          <w:numId w:val="18"/>
        </w:numPr>
        <w:spacing w:after="74"/>
        <w:ind w:right="794" w:hanging="360"/>
        <w:rPr>
          <w:lang w:val="en-US"/>
        </w:rPr>
      </w:pPr>
      <w:r w:rsidRPr="00831397">
        <w:rPr>
          <w:lang w:val="en-US"/>
        </w:rPr>
        <w:t>The dangerous threshold of 2°C was first proposed in 2007 at the Bali Conference of the Parties (</w:t>
      </w:r>
      <w:r>
        <w:rPr>
          <w:sz w:val="20"/>
          <w:vertAlign w:val="superscript"/>
        </w:rPr>
        <w:footnoteReference w:id="28"/>
      </w:r>
      <w:r w:rsidRPr="00831397">
        <w:rPr>
          <w:u w:val="single" w:color="000000"/>
          <w:lang w:val="en-US"/>
        </w:rPr>
        <w:t>COP)</w:t>
      </w:r>
      <w:r w:rsidRPr="00831397">
        <w:rPr>
          <w:lang w:val="en-US"/>
        </w:rPr>
        <w:t xml:space="preserve">.  </w:t>
      </w:r>
    </w:p>
    <w:p w14:paraId="10638CEE" w14:textId="77777777" w:rsidR="004A3CD3" w:rsidRPr="00831397" w:rsidRDefault="006C0598">
      <w:pPr>
        <w:numPr>
          <w:ilvl w:val="1"/>
          <w:numId w:val="18"/>
        </w:numPr>
        <w:ind w:right="794" w:hanging="360"/>
        <w:rPr>
          <w:lang w:val="en-US"/>
        </w:rPr>
      </w:pPr>
      <w:r w:rsidRPr="00831397">
        <w:rPr>
          <w:lang w:val="en-US"/>
        </w:rPr>
        <w:t>In the Copenhagen Accord (COP-15, 2009), states recognized the need to limit the temperature increase to 2°C and considered the possibility of strengthening the long-term objective towards a threshold of 1.5°C</w:t>
      </w:r>
      <w:r>
        <w:rPr>
          <w:sz w:val="20"/>
          <w:vertAlign w:val="superscript"/>
        </w:rPr>
        <w:footnoteReference w:id="29"/>
      </w:r>
      <w:r w:rsidRPr="00831397">
        <w:rPr>
          <w:lang w:val="en-US"/>
        </w:rPr>
        <w:t xml:space="preserve">; </w:t>
      </w:r>
    </w:p>
    <w:p w14:paraId="56223DAF" w14:textId="77777777" w:rsidR="004A3CD3" w:rsidRPr="00831397" w:rsidRDefault="006C0598">
      <w:pPr>
        <w:numPr>
          <w:ilvl w:val="1"/>
          <w:numId w:val="18"/>
        </w:numPr>
        <w:spacing w:after="48"/>
        <w:ind w:right="794" w:hanging="360"/>
        <w:rPr>
          <w:lang w:val="en-US"/>
        </w:rPr>
      </w:pPr>
      <w:r w:rsidRPr="00831397">
        <w:rPr>
          <w:lang w:val="en-US"/>
        </w:rPr>
        <w:t>The objective of limiting the temperature increase to 2°C, and the need to consider strengthening the threshold with reference to 1.5°C, was reiterated at the Cancún Conference (COP-16, 2010)</w:t>
      </w:r>
      <w:r w:rsidRPr="00831397">
        <w:rPr>
          <w:sz w:val="20"/>
          <w:vertAlign w:val="superscript"/>
          <w:lang w:val="en-US"/>
        </w:rPr>
        <w:t xml:space="preserve"> 30</w:t>
      </w:r>
      <w:r w:rsidRPr="00831397">
        <w:rPr>
          <w:lang w:val="en-US"/>
        </w:rPr>
        <w:t xml:space="preserve">; </w:t>
      </w:r>
    </w:p>
    <w:p w14:paraId="7AA53764" w14:textId="77777777" w:rsidR="004A3CD3" w:rsidRPr="00831397" w:rsidRDefault="006C0598">
      <w:pPr>
        <w:numPr>
          <w:ilvl w:val="1"/>
          <w:numId w:val="18"/>
        </w:numPr>
        <w:spacing w:after="45"/>
        <w:ind w:right="794" w:hanging="360"/>
        <w:rPr>
          <w:lang w:val="en-US"/>
        </w:rPr>
      </w:pPr>
      <w:r w:rsidRPr="00831397">
        <w:rPr>
          <w:lang w:val="en-US"/>
        </w:rPr>
        <w:t>At the Doha Conference (COP-18, 2012), a "Structured Dialogue among experts" was launched to adjust the 2°C threshold downwards. It concluded that the 2°C target should no longer be considered conservative, that the 2°C threshold had become inadequate to avoid dangerous global warming, and that limiting warming below 1.5°C would be safer</w:t>
      </w:r>
      <w:r>
        <w:rPr>
          <w:sz w:val="20"/>
          <w:vertAlign w:val="superscript"/>
        </w:rPr>
        <w:footnoteReference w:id="30"/>
      </w:r>
      <w:r w:rsidRPr="00831397">
        <w:rPr>
          <w:lang w:val="en-US"/>
        </w:rPr>
        <w:t xml:space="preserve">;  </w:t>
      </w:r>
    </w:p>
    <w:p w14:paraId="2F4AE8D9" w14:textId="77777777" w:rsidR="004A3CD3" w:rsidRPr="00831397" w:rsidRDefault="006C0598">
      <w:pPr>
        <w:numPr>
          <w:ilvl w:val="1"/>
          <w:numId w:val="18"/>
        </w:numPr>
        <w:spacing w:after="295"/>
        <w:ind w:right="794" w:hanging="360"/>
        <w:rPr>
          <w:lang w:val="en-US"/>
        </w:rPr>
      </w:pPr>
      <w:r w:rsidRPr="00831397">
        <w:rPr>
          <w:lang w:val="en-US"/>
        </w:rPr>
        <w:lastRenderedPageBreak/>
        <w:t>The Paris Agreement (COP-21, 2015) set a goal of holding the increase in global average temperature "</w:t>
      </w:r>
      <w:r w:rsidRPr="00831397">
        <w:rPr>
          <w:b/>
          <w:i/>
          <w:lang w:val="en-US"/>
        </w:rPr>
        <w:t xml:space="preserve">well below 2°C above </w:t>
      </w:r>
      <w:r w:rsidRPr="00831397">
        <w:rPr>
          <w:i/>
          <w:lang w:val="en-US"/>
        </w:rPr>
        <w:t>pre-industrial levels</w:t>
      </w:r>
      <w:r w:rsidRPr="00831397">
        <w:rPr>
          <w:lang w:val="en-US"/>
        </w:rPr>
        <w:t xml:space="preserve">" and continuing efforts to limit the temperature increase to </w:t>
      </w:r>
      <w:r w:rsidRPr="00831397">
        <w:rPr>
          <w:b/>
          <w:lang w:val="en-US"/>
        </w:rPr>
        <w:t>1.5°C</w:t>
      </w:r>
      <w:r w:rsidRPr="00831397">
        <w:rPr>
          <w:lang w:val="en-US"/>
        </w:rPr>
        <w:t xml:space="preserve"> </w:t>
      </w:r>
      <w:r>
        <w:rPr>
          <w:sz w:val="20"/>
          <w:vertAlign w:val="superscript"/>
        </w:rPr>
        <w:footnoteReference w:id="31"/>
      </w:r>
      <w:r w:rsidRPr="00831397">
        <w:rPr>
          <w:lang w:val="en-US"/>
        </w:rPr>
        <w:t xml:space="preserve">; </w:t>
      </w:r>
    </w:p>
    <w:p w14:paraId="67D38780" w14:textId="77777777" w:rsidR="004A3CD3" w:rsidRPr="00831397" w:rsidRDefault="006C0598">
      <w:pPr>
        <w:numPr>
          <w:ilvl w:val="0"/>
          <w:numId w:val="17"/>
        </w:numPr>
        <w:spacing w:after="745"/>
        <w:ind w:right="794" w:hanging="566"/>
        <w:rPr>
          <w:lang w:val="en-US"/>
        </w:rPr>
      </w:pPr>
      <w:r w:rsidRPr="00831397">
        <w:rPr>
          <w:lang w:val="en-US"/>
        </w:rPr>
        <w:t xml:space="preserve">None of the respondents has disputed that, as Belgium is a party to the UNFCCC and therefore to the COP, it has adopted by consensus the various decisions that this body has taken over the years, from meeting to meeting, from the 2007 COP to the 2015 COP, and that, in so doing, the country and therefore all the respondents were necessarily fully informed of these decisions. </w:t>
      </w:r>
    </w:p>
    <w:p w14:paraId="39021BF5" w14:textId="77777777" w:rsidR="004A3CD3" w:rsidRPr="00831397" w:rsidRDefault="006C0598">
      <w:pPr>
        <w:tabs>
          <w:tab w:val="center" w:pos="807"/>
          <w:tab w:val="center" w:pos="2978"/>
        </w:tabs>
        <w:spacing w:after="108" w:line="260" w:lineRule="auto"/>
        <w:ind w:left="0" w:right="0" w:firstLine="0"/>
        <w:jc w:val="left"/>
        <w:rPr>
          <w:lang w:val="en-US"/>
        </w:rPr>
      </w:pPr>
      <w:r w:rsidRPr="00831397">
        <w:rPr>
          <w:lang w:val="en-US"/>
        </w:rPr>
        <w:tab/>
      </w:r>
      <w:r w:rsidRPr="00831397">
        <w:rPr>
          <w:sz w:val="18"/>
          <w:vertAlign w:val="superscript"/>
          <w:lang w:val="en-US"/>
        </w:rPr>
        <w:t>30</w:t>
      </w:r>
      <w:r w:rsidRPr="00831397">
        <w:rPr>
          <w:sz w:val="18"/>
          <w:lang w:val="en-US"/>
        </w:rPr>
        <w:tab/>
        <w:t xml:space="preserve"> Decision 1/CP.16, preamble and p. 3, point 4, Exhibit H.9 </w:t>
      </w:r>
      <w:r w:rsidRPr="00831397">
        <w:rPr>
          <w:i/>
          <w:sz w:val="18"/>
          <w:lang w:val="en-US"/>
        </w:rPr>
        <w:t xml:space="preserve">: </w:t>
      </w:r>
    </w:p>
    <w:p w14:paraId="20F75368" w14:textId="77777777" w:rsidR="004A3CD3" w:rsidRPr="00831397" w:rsidRDefault="006C0598">
      <w:pPr>
        <w:spacing w:line="250" w:lineRule="auto"/>
        <w:ind w:left="1025" w:right="636" w:hanging="10"/>
        <w:jc w:val="left"/>
        <w:rPr>
          <w:lang w:val="en-US"/>
        </w:rPr>
      </w:pPr>
      <w:r w:rsidRPr="00831397">
        <w:rPr>
          <w:i/>
          <w:sz w:val="18"/>
          <w:lang w:val="en-US"/>
        </w:rPr>
        <w:t xml:space="preserve">"Recalling its decisions 1/CP.13 (Bali Action Plan) and 1/CP.15, [...] </w:t>
      </w:r>
    </w:p>
    <w:p w14:paraId="4B47889C" w14:textId="77777777" w:rsidR="004A3CD3" w:rsidRPr="00831397" w:rsidRDefault="006C0598">
      <w:pPr>
        <w:spacing w:line="250" w:lineRule="auto"/>
        <w:ind w:left="1025" w:right="636" w:hanging="10"/>
        <w:jc w:val="left"/>
        <w:rPr>
          <w:lang w:val="en-US"/>
        </w:rPr>
      </w:pPr>
      <w:r w:rsidRPr="00831397">
        <w:rPr>
          <w:i/>
          <w:sz w:val="18"/>
          <w:lang w:val="en-US"/>
        </w:rPr>
        <w:t xml:space="preserve">Noting UN Human Rights Council resolution 10/4 on human rights and climate change, [...] </w:t>
      </w:r>
      <w:r w:rsidRPr="00831397">
        <w:rPr>
          <w:lang w:val="en-US"/>
        </w:rPr>
        <w:br w:type="page"/>
      </w:r>
    </w:p>
    <w:p w14:paraId="12509B9F" w14:textId="77777777" w:rsidR="004A3CD3" w:rsidRPr="00831397" w:rsidRDefault="006C0598">
      <w:pPr>
        <w:numPr>
          <w:ilvl w:val="0"/>
          <w:numId w:val="17"/>
        </w:numPr>
        <w:spacing w:after="23" w:line="248" w:lineRule="auto"/>
        <w:ind w:right="794" w:hanging="566"/>
        <w:rPr>
          <w:lang w:val="en-US"/>
        </w:rPr>
      </w:pPr>
      <w:r w:rsidRPr="00831397">
        <w:rPr>
          <w:lang w:val="en-US"/>
        </w:rPr>
        <w:lastRenderedPageBreak/>
        <w:t xml:space="preserve">The 2018 IPCC Special Report summarizes the differences between the consequences of 1.5°C and 2°C warming in a striking figure, which we reproduce below. A crucial finding of the IPCC study is that with warming </w:t>
      </w:r>
      <w:r w:rsidRPr="00831397">
        <w:rPr>
          <w:b/>
          <w:lang w:val="en-US"/>
        </w:rPr>
        <w:t>above 1.5°C, all the dangers generated by induced climate change increase substantially</w:t>
      </w:r>
      <w:r w:rsidRPr="00831397">
        <w:rPr>
          <w:lang w:val="en-US"/>
        </w:rPr>
        <w:t xml:space="preserve">. The following figure summarizes this: all relevant risks in relation to climate change become 'High' to 'Very high' at a warming between 1.5°C and 2°C. </w:t>
      </w:r>
      <w:r>
        <w:rPr>
          <w:vertAlign w:val="superscript"/>
        </w:rPr>
        <w:footnoteReference w:id="32"/>
      </w:r>
    </w:p>
    <w:p w14:paraId="396ED929" w14:textId="77777777" w:rsidR="00E933CB" w:rsidRPr="00831397" w:rsidRDefault="00825B93">
      <w:pPr>
        <w:spacing w:after="0" w:line="259" w:lineRule="auto"/>
        <w:ind w:left="464" w:right="0" w:firstLine="0"/>
        <w:jc w:val="left"/>
        <w:rPr>
          <w:lang w:val="en-US"/>
        </w:rPr>
      </w:pPr>
      <w:r w:rsidRPr="00831397">
        <w:rPr>
          <w:lang w:val="en-US"/>
        </w:rPr>
        <w:t xml:space="preserve"> </w:t>
      </w:r>
    </w:p>
    <w:p w14:paraId="6C8DCEC9" w14:textId="77777777" w:rsidR="00E933CB" w:rsidRPr="00831397" w:rsidRDefault="00825B93">
      <w:pPr>
        <w:spacing w:after="62" w:line="259" w:lineRule="auto"/>
        <w:ind w:left="0" w:right="146" w:firstLine="0"/>
        <w:jc w:val="right"/>
        <w:rPr>
          <w:lang w:val="en-US"/>
        </w:rPr>
      </w:pPr>
      <w:r>
        <w:rPr>
          <w:noProof/>
        </w:rPr>
        <w:drawing>
          <wp:inline distT="0" distB="0" distL="0" distR="0" wp14:anchorId="694E0ABC" wp14:editId="71FEBBB1">
            <wp:extent cx="5684897" cy="3510147"/>
            <wp:effectExtent l="0" t="0" r="0" b="0"/>
            <wp:docPr id="4020" name="Picture 4020"/>
            <wp:cNvGraphicFramePr/>
            <a:graphic xmlns:a="http://schemas.openxmlformats.org/drawingml/2006/main">
              <a:graphicData uri="http://schemas.openxmlformats.org/drawingml/2006/picture">
                <pic:pic xmlns:pic="http://schemas.openxmlformats.org/drawingml/2006/picture">
                  <pic:nvPicPr>
                    <pic:cNvPr id="4020" name="Picture 4020"/>
                    <pic:cNvPicPr/>
                  </pic:nvPicPr>
                  <pic:blipFill>
                    <a:blip r:embed="rId23"/>
                    <a:stretch>
                      <a:fillRect/>
                    </a:stretch>
                  </pic:blipFill>
                  <pic:spPr>
                    <a:xfrm>
                      <a:off x="0" y="0"/>
                      <a:ext cx="5684897" cy="3510147"/>
                    </a:xfrm>
                    <a:prstGeom prst="rect">
                      <a:avLst/>
                    </a:prstGeom>
                  </pic:spPr>
                </pic:pic>
              </a:graphicData>
            </a:graphic>
          </wp:inline>
        </w:drawing>
      </w:r>
      <w:r w:rsidRPr="00831397">
        <w:rPr>
          <w:lang w:val="en-US"/>
        </w:rPr>
        <w:t xml:space="preserve"> </w:t>
      </w:r>
    </w:p>
    <w:p w14:paraId="1742ED82" w14:textId="77777777" w:rsidR="004A3CD3" w:rsidRPr="00831397" w:rsidRDefault="006C0598">
      <w:pPr>
        <w:pStyle w:val="Heading2"/>
        <w:ind w:left="1025"/>
        <w:rPr>
          <w:lang w:val="en-US"/>
        </w:rPr>
      </w:pPr>
      <w:bookmarkStart w:id="8" w:name="_Toc179575"/>
      <w:r w:rsidRPr="00831397">
        <w:rPr>
          <w:i/>
          <w:lang w:val="en-US"/>
        </w:rPr>
        <w:t>Figure 8</w:t>
      </w:r>
      <w:r w:rsidRPr="00831397">
        <w:rPr>
          <w:lang w:val="en-US"/>
        </w:rPr>
        <w:t xml:space="preserve">. Warming of 1.5°C to 2°C and more: low to very high risk of consequences  </w:t>
      </w:r>
      <w:bookmarkEnd w:id="8"/>
    </w:p>
    <w:p w14:paraId="7D9E4AB2" w14:textId="77777777" w:rsidR="004A3CD3" w:rsidRPr="00831397" w:rsidRDefault="006C0598">
      <w:pPr>
        <w:spacing w:after="0" w:line="248" w:lineRule="auto"/>
        <w:ind w:left="1040" w:right="791" w:hanging="10"/>
        <w:rPr>
          <w:lang w:val="en-US"/>
        </w:rPr>
      </w:pPr>
      <w:r w:rsidRPr="00831397">
        <w:rPr>
          <w:lang w:val="en-US"/>
        </w:rPr>
        <w:t>Note that the risk of reaching these tipping points ('</w:t>
      </w:r>
      <w:r w:rsidRPr="00831397">
        <w:rPr>
          <w:i/>
          <w:lang w:val="en-US"/>
        </w:rPr>
        <w:t>Large scale singular events</w:t>
      </w:r>
      <w:r w:rsidRPr="00831397">
        <w:rPr>
          <w:lang w:val="en-US"/>
        </w:rPr>
        <w:t xml:space="preserve">') with irreversible changes is already close and becomes substantially higher above 1.5°C.  </w:t>
      </w:r>
    </w:p>
    <w:p w14:paraId="3CA490E4" w14:textId="77777777" w:rsidR="00E933CB" w:rsidRPr="00831397" w:rsidRDefault="00825B93">
      <w:pPr>
        <w:spacing w:after="0" w:line="259" w:lineRule="auto"/>
        <w:ind w:left="1030" w:right="0" w:firstLine="0"/>
        <w:jc w:val="left"/>
        <w:rPr>
          <w:lang w:val="en-US"/>
        </w:rPr>
      </w:pPr>
      <w:r w:rsidRPr="00831397">
        <w:rPr>
          <w:lang w:val="en-US"/>
        </w:rPr>
        <w:t xml:space="preserve"> </w:t>
      </w:r>
    </w:p>
    <w:p w14:paraId="105748FB" w14:textId="77777777" w:rsidR="004A3CD3" w:rsidRPr="00831397" w:rsidRDefault="006C0598">
      <w:pPr>
        <w:ind w:left="1015" w:right="794"/>
        <w:rPr>
          <w:lang w:val="en-US"/>
        </w:rPr>
      </w:pPr>
      <w:r w:rsidRPr="00831397">
        <w:rPr>
          <w:lang w:val="en-US"/>
        </w:rPr>
        <w:t xml:space="preserve">However, it should be remembered that there is </w:t>
      </w:r>
      <w:r w:rsidRPr="00831397">
        <w:rPr>
          <w:b/>
          <w:lang w:val="en-US"/>
        </w:rPr>
        <w:t>no linear relationship between warming and the consequences of warming</w:t>
      </w:r>
      <w:r w:rsidRPr="00831397">
        <w:rPr>
          <w:lang w:val="en-US"/>
        </w:rPr>
        <w:t>; such a linear relationship exists only between GHG concentrations and warming</w:t>
      </w:r>
      <w:r>
        <w:rPr>
          <w:vertAlign w:val="superscript"/>
        </w:rPr>
        <w:footnoteReference w:id="33"/>
      </w:r>
      <w:r w:rsidRPr="00831397">
        <w:rPr>
          <w:lang w:val="en-US"/>
        </w:rPr>
        <w:t xml:space="preserve">. The </w:t>
      </w:r>
      <w:r w:rsidRPr="00831397">
        <w:rPr>
          <w:b/>
          <w:lang w:val="en-US"/>
        </w:rPr>
        <w:t xml:space="preserve">tipping point </w:t>
      </w:r>
      <w:r w:rsidRPr="00831397">
        <w:rPr>
          <w:lang w:val="en-US"/>
        </w:rPr>
        <w:t xml:space="preserve">phenomenon is a perfect example.  </w:t>
      </w:r>
    </w:p>
    <w:p w14:paraId="7F9789F7" w14:textId="77777777" w:rsidR="00E933CB" w:rsidRPr="00831397" w:rsidRDefault="00825B93">
      <w:pPr>
        <w:spacing w:after="249" w:line="259" w:lineRule="auto"/>
        <w:ind w:left="1030" w:right="0" w:firstLine="0"/>
        <w:jc w:val="left"/>
        <w:rPr>
          <w:lang w:val="en-US"/>
        </w:rPr>
      </w:pPr>
      <w:r w:rsidRPr="00831397">
        <w:rPr>
          <w:lang w:val="en-US"/>
        </w:rPr>
        <w:t xml:space="preserve"> </w:t>
      </w:r>
    </w:p>
    <w:p w14:paraId="7394BF30" w14:textId="77777777" w:rsidR="004A3CD3" w:rsidRPr="00831397" w:rsidRDefault="006C0598">
      <w:pPr>
        <w:spacing w:after="262" w:line="249" w:lineRule="auto"/>
        <w:ind w:left="1025" w:right="785" w:hanging="576"/>
        <w:rPr>
          <w:lang w:val="en-US"/>
        </w:rPr>
      </w:pPr>
      <w:r w:rsidRPr="00831397">
        <w:rPr>
          <w:b/>
          <w:lang w:val="en-US"/>
        </w:rPr>
        <w:t xml:space="preserve">II.1.4 </w:t>
      </w:r>
      <w:r w:rsidRPr="00831397">
        <w:rPr>
          <w:b/>
          <w:u w:val="single" w:color="000000"/>
          <w:lang w:val="en-US"/>
        </w:rPr>
        <w:t xml:space="preserve">The carbon budget: the GHG emission reductions required to avoid global warming </w:t>
      </w:r>
    </w:p>
    <w:p w14:paraId="2C779B63" w14:textId="77777777" w:rsidR="004A3CD3" w:rsidRPr="00831397" w:rsidRDefault="006C0598">
      <w:pPr>
        <w:spacing w:after="262" w:line="249" w:lineRule="auto"/>
        <w:ind w:left="1025" w:right="785" w:hanging="576"/>
        <w:rPr>
          <w:lang w:val="en-US"/>
        </w:rPr>
      </w:pPr>
      <w:r w:rsidRPr="00831397">
        <w:rPr>
          <w:b/>
          <w:u w:val="single" w:color="000000"/>
          <w:lang w:val="en-US"/>
        </w:rPr>
        <w:t xml:space="preserve">hazardous climate </w:t>
      </w:r>
    </w:p>
    <w:p w14:paraId="0390DDB1" w14:textId="77777777" w:rsidR="004A3CD3" w:rsidRPr="00831397" w:rsidRDefault="006C0598">
      <w:pPr>
        <w:ind w:left="1030" w:right="794" w:hanging="566"/>
        <w:rPr>
          <w:lang w:val="en-US"/>
        </w:rPr>
      </w:pPr>
      <w:r w:rsidRPr="00831397">
        <w:rPr>
          <w:lang w:val="en-US"/>
        </w:rPr>
        <w:t xml:space="preserve">40. Belgium therefore adhered by consensus to the COP decisions, setting the threshold for dangerous warming at 2°C first, then towards 1.5°C. </w:t>
      </w:r>
    </w:p>
    <w:p w14:paraId="67956FAB" w14:textId="77777777" w:rsidR="004A3CD3" w:rsidRPr="00831397" w:rsidRDefault="006C0598">
      <w:pPr>
        <w:spacing w:after="268" w:line="248" w:lineRule="auto"/>
        <w:ind w:left="1040" w:right="791" w:hanging="10"/>
        <w:rPr>
          <w:lang w:val="en-US"/>
        </w:rPr>
      </w:pPr>
      <w:r w:rsidRPr="00831397">
        <w:rPr>
          <w:lang w:val="en-US"/>
        </w:rPr>
        <w:t xml:space="preserve">The question is to know what carbon budget this corresponds to. It is therefore a question of determining how much we should limit the concentration of GHGs in the atmosphere in order to limit the rise in temperature to 2°C or even 1.5°C.  </w:t>
      </w:r>
    </w:p>
    <w:p w14:paraId="6AE9DEF1" w14:textId="77777777" w:rsidR="004A3CD3" w:rsidRPr="00831397" w:rsidRDefault="006C0598">
      <w:pPr>
        <w:spacing w:after="133" w:line="362" w:lineRule="auto"/>
        <w:ind w:left="459" w:right="787" w:hanging="10"/>
        <w:jc w:val="left"/>
        <w:rPr>
          <w:lang w:val="en-US"/>
        </w:rPr>
      </w:pPr>
      <w:r w:rsidRPr="00831397">
        <w:rPr>
          <w:b/>
          <w:i/>
          <w:lang w:val="en-US"/>
        </w:rPr>
        <w:lastRenderedPageBreak/>
        <w:t xml:space="preserve">A. </w:t>
      </w:r>
      <w:r w:rsidRPr="00831397">
        <w:rPr>
          <w:rFonts w:ascii="Arial" w:eastAsia="Arial" w:hAnsi="Arial" w:cs="Arial"/>
          <w:b/>
          <w:i/>
          <w:lang w:val="en-US"/>
        </w:rPr>
        <w:tab/>
      </w:r>
      <w:r w:rsidRPr="00831397">
        <w:rPr>
          <w:b/>
          <w:i/>
          <w:u w:val="single" w:color="000000"/>
          <w:lang w:val="en-US"/>
        </w:rPr>
        <w:t>2°C - 450 ppm CO</w:t>
      </w:r>
      <w:r w:rsidRPr="00831397">
        <w:rPr>
          <w:b/>
          <w:i/>
          <w:u w:val="single" w:color="000000"/>
          <w:vertAlign w:val="subscript"/>
          <w:lang w:val="en-US"/>
        </w:rPr>
        <w:t>2</w:t>
      </w:r>
      <w:r w:rsidRPr="00831397">
        <w:rPr>
          <w:b/>
          <w:i/>
          <w:u w:val="single" w:color="000000"/>
          <w:lang w:val="en-US"/>
        </w:rPr>
        <w:t xml:space="preserve"> -eq. - at least 25 to 40% reduction in GHG emissions by 2020 - at least 85 to 90% by 2050 </w:t>
      </w:r>
      <w:r w:rsidRPr="00831397">
        <w:rPr>
          <w:b/>
          <w:i/>
          <w:lang w:val="en-US"/>
        </w:rPr>
        <w:t xml:space="preserve">a </w:t>
      </w:r>
      <w:r w:rsidRPr="00831397">
        <w:rPr>
          <w:rFonts w:ascii="Arial" w:eastAsia="Arial" w:hAnsi="Arial" w:cs="Arial"/>
          <w:b/>
          <w:i/>
          <w:lang w:val="en-US"/>
        </w:rPr>
        <w:tab/>
      </w:r>
      <w:r w:rsidRPr="00831397">
        <w:rPr>
          <w:b/>
          <w:i/>
          <w:u w:val="single" w:color="000000"/>
          <w:lang w:val="en-US"/>
        </w:rPr>
        <w:t>The carbon budget: 450 ppm CO</w:t>
      </w:r>
      <w:r w:rsidRPr="00831397">
        <w:rPr>
          <w:b/>
          <w:i/>
          <w:u w:val="single" w:color="000000"/>
          <w:vertAlign w:val="subscript"/>
          <w:lang w:val="en-US"/>
        </w:rPr>
        <w:t>2</w:t>
      </w:r>
      <w:r w:rsidRPr="00831397">
        <w:rPr>
          <w:b/>
          <w:i/>
          <w:u w:val="single" w:color="000000"/>
          <w:lang w:val="en-US"/>
        </w:rPr>
        <w:t xml:space="preserve">-eq. to limit to 2°C </w:t>
      </w:r>
    </w:p>
    <w:p w14:paraId="291AAC01" w14:textId="77777777" w:rsidR="004A3CD3" w:rsidRPr="00831397" w:rsidRDefault="006C0598">
      <w:pPr>
        <w:numPr>
          <w:ilvl w:val="0"/>
          <w:numId w:val="19"/>
        </w:numPr>
        <w:spacing w:after="261"/>
        <w:ind w:right="794" w:hanging="566"/>
        <w:rPr>
          <w:lang w:val="en-US"/>
        </w:rPr>
      </w:pPr>
      <w:r w:rsidRPr="00831397">
        <w:rPr>
          <w:lang w:val="en-US"/>
        </w:rPr>
        <w:t>Within the global climate governance established by the UNFCCC, the idea of quantifying the limit of dangerous warming, the threshold of average global temperature increase not to be exceeded, appeared for the first time in 2007, during the COP-13 in Bali.  Chronologically, the approach comes a decade after the 1997 Kyoto Protocol (which entered into force in 2005), which, although it provides for GHG reduction commitments for State Parties, did not give concrete form to the notion of "</w:t>
      </w:r>
      <w:r w:rsidRPr="00831397">
        <w:rPr>
          <w:i/>
          <w:lang w:val="en-US"/>
        </w:rPr>
        <w:t>dangerous global warming</w:t>
      </w:r>
      <w:r w:rsidRPr="00831397">
        <w:rPr>
          <w:lang w:val="en-US"/>
        </w:rPr>
        <w:t xml:space="preserve">". </w:t>
      </w:r>
    </w:p>
    <w:p w14:paraId="7F455DEE" w14:textId="77777777" w:rsidR="004A3CD3" w:rsidRPr="00831397" w:rsidRDefault="006C0598">
      <w:pPr>
        <w:numPr>
          <w:ilvl w:val="0"/>
          <w:numId w:val="19"/>
        </w:numPr>
        <w:ind w:right="794" w:hanging="566"/>
        <w:rPr>
          <w:lang w:val="en-US"/>
        </w:rPr>
      </w:pPr>
      <w:r w:rsidRPr="00831397">
        <w:rPr>
          <w:lang w:val="en-US"/>
        </w:rPr>
        <w:t xml:space="preserve">The preamble to the Bali Action Plan </w:t>
      </w:r>
      <w:r>
        <w:rPr>
          <w:sz w:val="20"/>
          <w:vertAlign w:val="superscript"/>
        </w:rPr>
        <w:footnoteReference w:id="34"/>
      </w:r>
      <w:r w:rsidRPr="00831397">
        <w:rPr>
          <w:lang w:val="en-US"/>
        </w:rPr>
        <w:t xml:space="preserve">explicitly recognizes the following:  </w:t>
      </w:r>
    </w:p>
    <w:p w14:paraId="23315CD0" w14:textId="77777777" w:rsidR="004A3CD3" w:rsidRPr="00831397" w:rsidRDefault="006C0598">
      <w:pPr>
        <w:ind w:left="1591" w:right="792" w:hanging="10"/>
        <w:rPr>
          <w:lang w:val="en-US"/>
        </w:rPr>
      </w:pPr>
      <w:r w:rsidRPr="00831397">
        <w:rPr>
          <w:i/>
          <w:lang w:val="en-US"/>
        </w:rPr>
        <w:t xml:space="preserve">"The Conference of the Parties,  </w:t>
      </w:r>
    </w:p>
    <w:p w14:paraId="37C25A06" w14:textId="77777777" w:rsidR="004A3CD3" w:rsidRPr="00831397" w:rsidRDefault="006C0598">
      <w:pPr>
        <w:spacing w:line="248" w:lineRule="auto"/>
        <w:ind w:left="1591" w:right="791" w:hanging="10"/>
        <w:rPr>
          <w:lang w:val="en-US"/>
        </w:rPr>
      </w:pPr>
      <w:r w:rsidRPr="00831397">
        <w:rPr>
          <w:i/>
          <w:lang w:val="en-US"/>
        </w:rPr>
        <w:t xml:space="preserve">Determined to strengthen the implementation of the Convention as a matter of urgency in order to achieve its ultimate objective in full compliance with the principles and commitments of the Convention, (...) </w:t>
      </w:r>
    </w:p>
    <w:p w14:paraId="36047671" w14:textId="77777777" w:rsidR="004A3CD3" w:rsidRPr="00831397" w:rsidRDefault="006C0598">
      <w:pPr>
        <w:spacing w:line="248" w:lineRule="auto"/>
        <w:ind w:left="1591" w:right="791" w:hanging="10"/>
        <w:rPr>
          <w:lang w:val="en-US"/>
        </w:rPr>
      </w:pPr>
      <w:r w:rsidRPr="00831397">
        <w:rPr>
          <w:i/>
          <w:lang w:val="en-US"/>
        </w:rPr>
        <w:t xml:space="preserve">Recognizing that </w:t>
      </w:r>
      <w:r w:rsidRPr="00831397">
        <w:rPr>
          <w:b/>
          <w:i/>
          <w:lang w:val="en-US"/>
        </w:rPr>
        <w:t xml:space="preserve">deep cuts in global emissions will be required to achieve the ultimate objective of the Convention </w:t>
      </w:r>
      <w:r w:rsidRPr="00831397">
        <w:rPr>
          <w:i/>
          <w:lang w:val="en-US"/>
        </w:rPr>
        <w:t xml:space="preserve">and stressing the </w:t>
      </w:r>
      <w:r w:rsidRPr="00831397">
        <w:rPr>
          <w:b/>
          <w:i/>
          <w:lang w:val="en-US"/>
        </w:rPr>
        <w:t xml:space="preserve">urgency of addressing </w:t>
      </w:r>
      <w:r w:rsidRPr="00831397">
        <w:rPr>
          <w:i/>
          <w:lang w:val="en-US"/>
        </w:rPr>
        <w:t>climate change, as stated in the Fourth Assessment Report of the Intergovernmental Panel on Climate Change (...)"</w:t>
      </w:r>
      <w:r>
        <w:rPr>
          <w:sz w:val="20"/>
          <w:vertAlign w:val="superscript"/>
        </w:rPr>
        <w:footnoteReference w:id="35"/>
      </w:r>
      <w:r w:rsidRPr="00831397">
        <w:rPr>
          <w:lang w:val="en-US"/>
        </w:rPr>
        <w:t xml:space="preserve">. </w:t>
      </w:r>
    </w:p>
    <w:p w14:paraId="644093DB" w14:textId="77777777" w:rsidR="004A3CD3" w:rsidRPr="00831397" w:rsidRDefault="006C0598">
      <w:pPr>
        <w:spacing w:after="68" w:line="248" w:lineRule="auto"/>
        <w:ind w:left="1040" w:right="791" w:hanging="10"/>
        <w:rPr>
          <w:lang w:val="en-US"/>
        </w:rPr>
      </w:pPr>
      <w:r w:rsidRPr="00831397">
        <w:rPr>
          <w:lang w:val="en-US"/>
        </w:rPr>
        <w:t xml:space="preserve">In the word "urgent" there is a footnote. This footnote refers to the following table:  </w:t>
      </w:r>
    </w:p>
    <w:p w14:paraId="1C752B5A" w14:textId="77777777" w:rsidR="00E933CB" w:rsidRPr="00831397" w:rsidRDefault="00825B93">
      <w:pPr>
        <w:spacing w:after="19" w:line="259" w:lineRule="auto"/>
        <w:ind w:left="0" w:right="926" w:firstLine="0"/>
        <w:jc w:val="right"/>
        <w:rPr>
          <w:lang w:val="en-US"/>
        </w:rPr>
      </w:pPr>
      <w:r>
        <w:rPr>
          <w:noProof/>
        </w:rPr>
        <w:drawing>
          <wp:inline distT="0" distB="0" distL="0" distR="0" wp14:anchorId="547356A2" wp14:editId="67CF5CE4">
            <wp:extent cx="5090160" cy="2617470"/>
            <wp:effectExtent l="0" t="0" r="0" b="0"/>
            <wp:docPr id="4202" name="Picture 4202"/>
            <wp:cNvGraphicFramePr/>
            <a:graphic xmlns:a="http://schemas.openxmlformats.org/drawingml/2006/main">
              <a:graphicData uri="http://schemas.openxmlformats.org/drawingml/2006/picture">
                <pic:pic xmlns:pic="http://schemas.openxmlformats.org/drawingml/2006/picture">
                  <pic:nvPicPr>
                    <pic:cNvPr id="4202" name="Picture 4202"/>
                    <pic:cNvPicPr/>
                  </pic:nvPicPr>
                  <pic:blipFill>
                    <a:blip r:embed="rId24"/>
                    <a:stretch>
                      <a:fillRect/>
                    </a:stretch>
                  </pic:blipFill>
                  <pic:spPr>
                    <a:xfrm>
                      <a:off x="0" y="0"/>
                      <a:ext cx="5090160" cy="2617470"/>
                    </a:xfrm>
                    <a:prstGeom prst="rect">
                      <a:avLst/>
                    </a:prstGeom>
                  </pic:spPr>
                </pic:pic>
              </a:graphicData>
            </a:graphic>
          </wp:inline>
        </w:drawing>
      </w:r>
      <w:r w:rsidRPr="00831397">
        <w:rPr>
          <w:lang w:val="en-US"/>
        </w:rPr>
        <w:t xml:space="preserve"> </w:t>
      </w:r>
    </w:p>
    <w:p w14:paraId="560CD9A9" w14:textId="77777777" w:rsidR="004A3CD3" w:rsidRPr="00831397" w:rsidRDefault="006C0598">
      <w:pPr>
        <w:pStyle w:val="Heading2"/>
        <w:spacing w:after="208"/>
        <w:ind w:left="1025" w:right="0"/>
        <w:rPr>
          <w:lang w:val="en-US"/>
        </w:rPr>
      </w:pPr>
      <w:bookmarkStart w:id="9" w:name="_Toc179576"/>
      <w:r w:rsidRPr="00831397">
        <w:rPr>
          <w:i/>
          <w:lang w:val="en-US"/>
        </w:rPr>
        <w:t>Figure 9</w:t>
      </w:r>
      <w:r w:rsidRPr="00831397">
        <w:rPr>
          <w:lang w:val="en-US"/>
        </w:rPr>
        <w:t xml:space="preserve">: IPCC 2007 Assessment Report: The 2°C Limit </w:t>
      </w:r>
      <w:bookmarkEnd w:id="9"/>
    </w:p>
    <w:p w14:paraId="46070A8D" w14:textId="77777777" w:rsidR="004A3CD3" w:rsidRPr="00831397" w:rsidRDefault="006C0598">
      <w:pPr>
        <w:ind w:left="1015" w:right="794"/>
        <w:rPr>
          <w:lang w:val="en-US"/>
        </w:rPr>
      </w:pPr>
      <w:r w:rsidRPr="00831397">
        <w:rPr>
          <w:lang w:val="en-US"/>
        </w:rPr>
        <w:t xml:space="preserve">In this table, the IPCC has provided extremely clear information on the concentration limits (in ppm CO </w:t>
      </w:r>
      <w:r w:rsidRPr="00831397">
        <w:rPr>
          <w:vertAlign w:val="subscript"/>
          <w:lang w:val="en-US"/>
        </w:rPr>
        <w:t>2</w:t>
      </w:r>
      <w:r w:rsidRPr="00831397">
        <w:rPr>
          <w:lang w:val="en-US"/>
        </w:rPr>
        <w:t xml:space="preserve">-eq) that must not be exceeded to stay below a certain global temperature. </w:t>
      </w:r>
    </w:p>
    <w:p w14:paraId="172C9B1E" w14:textId="77777777" w:rsidR="004A3CD3" w:rsidRPr="00831397" w:rsidRDefault="006C0598">
      <w:pPr>
        <w:ind w:left="1015" w:right="794"/>
        <w:rPr>
          <w:lang w:val="en-US"/>
        </w:rPr>
      </w:pPr>
      <w:r w:rsidRPr="00831397">
        <w:rPr>
          <w:lang w:val="en-US"/>
        </w:rPr>
        <w:t xml:space="preserve">Thus, the information under "Category I" shows that in order to limit warming to between 2°C and 2.4°C, the concentration of GHGs in the atmosphere must be stabilized at a level between 445 and 490 ppm CO </w:t>
      </w:r>
      <w:r w:rsidRPr="00831397">
        <w:rPr>
          <w:vertAlign w:val="subscript"/>
          <w:lang w:val="en-US"/>
        </w:rPr>
        <w:t>2</w:t>
      </w:r>
      <w:r w:rsidRPr="00831397">
        <w:rPr>
          <w:lang w:val="en-US"/>
        </w:rPr>
        <w:t xml:space="preserve">-eq. </w:t>
      </w:r>
    </w:p>
    <w:p w14:paraId="254783D9" w14:textId="77777777" w:rsidR="004A3CD3" w:rsidRPr="00831397" w:rsidRDefault="006C0598">
      <w:pPr>
        <w:ind w:left="1015" w:right="794"/>
        <w:rPr>
          <w:lang w:val="en-US"/>
        </w:rPr>
      </w:pPr>
      <w:r w:rsidRPr="00831397">
        <w:rPr>
          <w:lang w:val="en-US"/>
        </w:rPr>
        <w:t xml:space="preserve">Note that this hypothesis assumes that the ceiling for global CO emissions </w:t>
      </w:r>
      <w:r w:rsidRPr="00831397">
        <w:rPr>
          <w:vertAlign w:val="subscript"/>
          <w:lang w:val="en-US"/>
        </w:rPr>
        <w:t>2</w:t>
      </w:r>
      <w:r w:rsidRPr="00831397">
        <w:rPr>
          <w:lang w:val="en-US"/>
        </w:rPr>
        <w:t>("</w:t>
      </w:r>
      <w:r w:rsidRPr="00831397">
        <w:rPr>
          <w:i/>
          <w:lang w:val="en-US"/>
        </w:rPr>
        <w:t>Peaking year for CO</w:t>
      </w:r>
      <w:r w:rsidRPr="00831397">
        <w:rPr>
          <w:i/>
          <w:vertAlign w:val="subscript"/>
          <w:lang w:val="en-US"/>
        </w:rPr>
        <w:t xml:space="preserve">2 </w:t>
      </w:r>
      <w:r w:rsidRPr="00831397">
        <w:rPr>
          <w:lang w:val="en-US"/>
        </w:rPr>
        <w:t xml:space="preserve"> </w:t>
      </w:r>
      <w:r w:rsidRPr="00831397">
        <w:rPr>
          <w:i/>
          <w:lang w:val="en-US"/>
        </w:rPr>
        <w:t>emissions</w:t>
      </w:r>
      <w:r w:rsidRPr="00831397">
        <w:rPr>
          <w:lang w:val="en-US"/>
        </w:rPr>
        <w:t xml:space="preserve">") is reached between 2000 and 2015 and that these emissions then decrease, which has not been the case. And in 2007, at COP-13, we already knew that from 2000 to 2007 </w:t>
      </w:r>
      <w:r w:rsidRPr="00831397">
        <w:rPr>
          <w:lang w:val="en-US"/>
        </w:rPr>
        <w:lastRenderedPageBreak/>
        <w:t xml:space="preserve">these global emissions had continued to increase year after year and that the limit concentrations put forward were therefore too optimistic. We will come back to this later. Moreover, the ceiling on global CO emissions </w:t>
      </w:r>
      <w:r w:rsidRPr="00831397">
        <w:rPr>
          <w:vertAlign w:val="subscript"/>
          <w:lang w:val="en-US"/>
        </w:rPr>
        <w:t>2</w:t>
      </w:r>
      <w:r w:rsidRPr="00831397">
        <w:rPr>
          <w:lang w:val="en-US"/>
        </w:rPr>
        <w:t xml:space="preserve">has still not been reached. </w:t>
      </w:r>
    </w:p>
    <w:p w14:paraId="4399ED47" w14:textId="77777777" w:rsidR="004A3CD3" w:rsidRPr="00831397" w:rsidRDefault="006C0598">
      <w:pPr>
        <w:ind w:left="1015" w:right="794"/>
        <w:rPr>
          <w:lang w:val="en-US"/>
        </w:rPr>
      </w:pPr>
      <w:r w:rsidRPr="00831397">
        <w:rPr>
          <w:lang w:val="en-US"/>
        </w:rPr>
        <w:t xml:space="preserve">The IPCC, on the basis of the table reproduced above, including the premise of a CO2 emissions cap between 2000 and 2015, concludes that the temperature rise can only reasonably be limited to 2°C if the concentration of GHGs in the atmosphere stabilizes at a maximum of about </w:t>
      </w:r>
      <w:r w:rsidRPr="00831397">
        <w:rPr>
          <w:b/>
          <w:lang w:val="en-US"/>
        </w:rPr>
        <w:t xml:space="preserve">450 ppm CO </w:t>
      </w:r>
      <w:r w:rsidRPr="00831397">
        <w:rPr>
          <w:b/>
          <w:vertAlign w:val="subscript"/>
          <w:lang w:val="en-US"/>
        </w:rPr>
        <w:t>2</w:t>
      </w:r>
      <w:r w:rsidRPr="00831397">
        <w:rPr>
          <w:b/>
          <w:lang w:val="en-US"/>
        </w:rPr>
        <w:t xml:space="preserve">-eq </w:t>
      </w:r>
      <w:r w:rsidRPr="00831397">
        <w:rPr>
          <w:lang w:val="en-US"/>
        </w:rPr>
        <w:t xml:space="preserve">: </w:t>
      </w:r>
    </w:p>
    <w:p w14:paraId="0330A7A5" w14:textId="77777777" w:rsidR="004A3CD3" w:rsidRPr="00831397" w:rsidRDefault="006C0598">
      <w:pPr>
        <w:spacing w:after="497" w:line="248" w:lineRule="auto"/>
        <w:ind w:left="1591" w:right="791" w:hanging="10"/>
        <w:rPr>
          <w:lang w:val="en-US"/>
        </w:rPr>
      </w:pPr>
      <w:r w:rsidRPr="00831397">
        <w:rPr>
          <w:lang w:val="en-US"/>
        </w:rPr>
        <w:t>"</w:t>
      </w:r>
      <w:r w:rsidRPr="00831397">
        <w:rPr>
          <w:i/>
          <w:lang w:val="en-US"/>
        </w:rPr>
        <w:t xml:space="preserve">Limiting the temperature increase to 2°C above pre-industrial levels can only be achieved at the lower limit of the concentration range indicated in the Category I scenario (i.e., about 450 ppm CO equivalent </w:t>
      </w:r>
      <w:r w:rsidRPr="00831397">
        <w:rPr>
          <w:i/>
          <w:vertAlign w:val="subscript"/>
          <w:lang w:val="en-US"/>
        </w:rPr>
        <w:t>2</w:t>
      </w:r>
      <w:r w:rsidRPr="00831397">
        <w:rPr>
          <w:i/>
          <w:lang w:val="en-US"/>
        </w:rPr>
        <w:t>based on "best estimate" assumptions)</w:t>
      </w:r>
      <w:r w:rsidRPr="00831397">
        <w:rPr>
          <w:lang w:val="en-US"/>
        </w:rPr>
        <w:t>.</w:t>
      </w:r>
      <w:r w:rsidRPr="00831397">
        <w:rPr>
          <w:i/>
          <w:lang w:val="en-US"/>
        </w:rPr>
        <w:t xml:space="preserve"> </w:t>
      </w:r>
      <w:r>
        <w:rPr>
          <w:sz w:val="20"/>
          <w:vertAlign w:val="superscript"/>
        </w:rPr>
        <w:footnoteReference w:id="36"/>
      </w:r>
    </w:p>
    <w:p w14:paraId="7C9C192A" w14:textId="77777777" w:rsidR="004A3CD3" w:rsidRPr="00831397" w:rsidRDefault="006C0598">
      <w:pPr>
        <w:pBdr>
          <w:top w:val="single" w:sz="6" w:space="0" w:color="000000"/>
          <w:left w:val="single" w:sz="6" w:space="0" w:color="000000"/>
          <w:bottom w:val="single" w:sz="6" w:space="0" w:color="000000"/>
          <w:right w:val="single" w:sz="6" w:space="0" w:color="000000"/>
        </w:pBdr>
        <w:spacing w:after="448" w:line="240" w:lineRule="auto"/>
        <w:ind w:left="1273" w:right="818" w:hanging="10"/>
        <w:rPr>
          <w:lang w:val="en-US"/>
        </w:rPr>
      </w:pPr>
      <w:r w:rsidRPr="00831397">
        <w:rPr>
          <w:lang w:val="en-US"/>
        </w:rPr>
        <w:t xml:space="preserve">In summary, as early as 2007, the Respondents </w:t>
      </w:r>
      <w:r w:rsidRPr="00831397">
        <w:rPr>
          <w:b/>
          <w:lang w:val="en-US"/>
        </w:rPr>
        <w:t xml:space="preserve">knew </w:t>
      </w:r>
      <w:r w:rsidRPr="00831397">
        <w:rPr>
          <w:lang w:val="en-US"/>
        </w:rPr>
        <w:t xml:space="preserve">that in order not to exceed the </w:t>
      </w:r>
      <w:r w:rsidRPr="00831397">
        <w:rPr>
          <w:b/>
          <w:lang w:val="en-US"/>
        </w:rPr>
        <w:t xml:space="preserve">2°C </w:t>
      </w:r>
      <w:r w:rsidRPr="00831397">
        <w:rPr>
          <w:lang w:val="en-US"/>
        </w:rPr>
        <w:t xml:space="preserve">threshold, which corresponds to dangerous global warming, GHG concentrations had to be limited to </w:t>
      </w:r>
      <w:r w:rsidRPr="00831397">
        <w:rPr>
          <w:b/>
          <w:lang w:val="en-US"/>
        </w:rPr>
        <w:t xml:space="preserve">450 ppm CO </w:t>
      </w:r>
      <w:r w:rsidRPr="00831397">
        <w:rPr>
          <w:b/>
          <w:vertAlign w:val="subscript"/>
          <w:lang w:val="en-US"/>
        </w:rPr>
        <w:t>2</w:t>
      </w:r>
      <w:r w:rsidRPr="00831397">
        <w:rPr>
          <w:b/>
          <w:lang w:val="en-US"/>
        </w:rPr>
        <w:t xml:space="preserve">-eq. </w:t>
      </w:r>
    </w:p>
    <w:p w14:paraId="0B7E5141" w14:textId="77777777" w:rsidR="004A3CD3" w:rsidRPr="00831397" w:rsidRDefault="006C0598">
      <w:pPr>
        <w:spacing w:after="264" w:line="248" w:lineRule="auto"/>
        <w:ind w:left="1015" w:right="787" w:hanging="566"/>
        <w:jc w:val="left"/>
        <w:rPr>
          <w:lang w:val="en-US"/>
        </w:rPr>
      </w:pPr>
      <w:r w:rsidRPr="00831397">
        <w:rPr>
          <w:b/>
          <w:i/>
          <w:lang w:val="en-US"/>
        </w:rPr>
        <w:t xml:space="preserve">b </w:t>
      </w:r>
      <w:r w:rsidRPr="00831397">
        <w:rPr>
          <w:b/>
          <w:i/>
          <w:u w:val="single" w:color="000000"/>
          <w:lang w:val="en-US"/>
        </w:rPr>
        <w:t xml:space="preserve">Measures to be taken to limit GHG concentrations to 450 ppm CO </w:t>
      </w:r>
      <w:r w:rsidRPr="00831397">
        <w:rPr>
          <w:b/>
          <w:i/>
          <w:u w:val="single" w:color="000000"/>
          <w:vertAlign w:val="subscript"/>
          <w:lang w:val="en-US"/>
        </w:rPr>
        <w:t>2</w:t>
      </w:r>
      <w:r w:rsidRPr="00831397">
        <w:rPr>
          <w:b/>
          <w:i/>
          <w:u w:val="single" w:color="000000"/>
          <w:lang w:val="en-US"/>
        </w:rPr>
        <w:t xml:space="preserve">-eq: emission reductions of at least -25 to -40% by 2020 </w:t>
      </w:r>
    </w:p>
    <w:p w14:paraId="07FFF1E0" w14:textId="77777777" w:rsidR="004A3CD3" w:rsidRPr="00831397" w:rsidRDefault="006C0598">
      <w:pPr>
        <w:numPr>
          <w:ilvl w:val="0"/>
          <w:numId w:val="20"/>
        </w:numPr>
        <w:spacing w:after="294"/>
        <w:ind w:right="794" w:hanging="566"/>
        <w:rPr>
          <w:lang w:val="en-US"/>
        </w:rPr>
      </w:pPr>
      <w:r w:rsidRPr="00831397">
        <w:rPr>
          <w:lang w:val="en-US"/>
        </w:rPr>
        <w:t xml:space="preserve">The question remained: </w:t>
      </w:r>
      <w:r w:rsidRPr="00831397">
        <w:rPr>
          <w:b/>
          <w:lang w:val="en-US"/>
        </w:rPr>
        <w:t xml:space="preserve">what actions </w:t>
      </w:r>
      <w:r w:rsidRPr="00831397">
        <w:rPr>
          <w:lang w:val="en-US"/>
        </w:rPr>
        <w:t xml:space="preserve">should be taken to limit GHG concentrations to 450 ppm CO </w:t>
      </w:r>
      <w:r w:rsidRPr="00831397">
        <w:rPr>
          <w:vertAlign w:val="subscript"/>
          <w:lang w:val="en-US"/>
        </w:rPr>
        <w:t>2</w:t>
      </w:r>
      <w:r w:rsidRPr="00831397">
        <w:rPr>
          <w:lang w:val="en-US"/>
        </w:rPr>
        <w:t xml:space="preserve">-eq? The answer to this question leads us to visit some principles enshrined in the UNFCCC. </w:t>
      </w:r>
    </w:p>
    <w:p w14:paraId="00EEC7E4" w14:textId="77777777" w:rsidR="004A3CD3" w:rsidRPr="00831397" w:rsidRDefault="006C0598">
      <w:pPr>
        <w:numPr>
          <w:ilvl w:val="0"/>
          <w:numId w:val="20"/>
        </w:numPr>
        <w:ind w:right="794" w:hanging="566"/>
        <w:rPr>
          <w:lang w:val="en-US"/>
        </w:rPr>
      </w:pPr>
      <w:r w:rsidRPr="00831397">
        <w:rPr>
          <w:lang w:val="en-US"/>
        </w:rPr>
        <w:t xml:space="preserve">Article 3 of the UNFCCC sets out the guiding principles for action by each Party to achieve the Convention's objective of avoiding dangerous warming, including </w:t>
      </w:r>
    </w:p>
    <w:p w14:paraId="63771B11" w14:textId="77777777" w:rsidR="004A3CD3" w:rsidRPr="00831397" w:rsidRDefault="006C0598">
      <w:pPr>
        <w:ind w:left="1591" w:right="792" w:hanging="10"/>
        <w:rPr>
          <w:lang w:val="en-US"/>
        </w:rPr>
      </w:pPr>
      <w:r w:rsidRPr="00831397">
        <w:rPr>
          <w:i/>
          <w:lang w:val="en-US"/>
        </w:rPr>
        <w:t>the principle of common but differentiated responsibilities, taking into account in particular the respective capacities of the Parties, and which places the developed countries, including Belgium, at the "forefront of the fight against climate change and its harmful effects"</w:t>
      </w:r>
      <w:r w:rsidRPr="00831397">
        <w:rPr>
          <w:i/>
          <w:sz w:val="14"/>
          <w:lang w:val="en-US"/>
        </w:rPr>
        <w:t xml:space="preserve">; </w:t>
      </w:r>
    </w:p>
    <w:p w14:paraId="6B563F94" w14:textId="77777777" w:rsidR="004A3CD3" w:rsidRPr="00831397" w:rsidRDefault="006C0598">
      <w:pPr>
        <w:ind w:left="1591" w:right="792" w:hanging="10"/>
        <w:rPr>
          <w:lang w:val="en-US"/>
        </w:rPr>
      </w:pPr>
      <w:r w:rsidRPr="00831397">
        <w:rPr>
          <w:i/>
          <w:lang w:val="en-US"/>
        </w:rPr>
        <w:t xml:space="preserve">the precautionary principle, which states that lack of full scientific certainty shall not be used as a reason for postponing preventive measures. </w:t>
      </w:r>
    </w:p>
    <w:p w14:paraId="66D2055A" w14:textId="77777777" w:rsidR="004A3CD3" w:rsidRPr="00831397" w:rsidRDefault="006C0598">
      <w:pPr>
        <w:ind w:left="1015" w:right="794"/>
        <w:rPr>
          <w:lang w:val="en-US"/>
        </w:rPr>
      </w:pPr>
      <w:r w:rsidRPr="00831397">
        <w:rPr>
          <w:lang w:val="en-US"/>
        </w:rPr>
        <w:t xml:space="preserve">The UNFCCC also sets out the commitments of the Parties, distinguishing between the obligations of the States listed in Annexes I and II and those of the States not listed. </w:t>
      </w:r>
    </w:p>
    <w:p w14:paraId="22243FD0" w14:textId="77777777" w:rsidR="004A3CD3" w:rsidRPr="00831397" w:rsidRDefault="006C0598">
      <w:pPr>
        <w:ind w:left="1015" w:right="794"/>
        <w:rPr>
          <w:lang w:val="en-US"/>
        </w:rPr>
      </w:pPr>
      <w:r w:rsidRPr="00831397">
        <w:rPr>
          <w:lang w:val="en-US"/>
        </w:rPr>
        <w:t xml:space="preserve">Annex I to the Convention groups together the "developed countries", i.e. the industrialised countries that were members of the OECD in 1992, as well as countries whose economies were in transition towards a market economy, in particular Russia and several Eastern European countries. 43 countries are included in this annex, including Belgium, out of the 196 States Parties to the UNFCCC. </w:t>
      </w:r>
    </w:p>
    <w:p w14:paraId="63B0DA8A" w14:textId="77777777" w:rsidR="004A3CD3" w:rsidRPr="00831397" w:rsidRDefault="006C0598">
      <w:pPr>
        <w:ind w:left="1015" w:right="794"/>
        <w:rPr>
          <w:lang w:val="en-US"/>
        </w:rPr>
      </w:pPr>
      <w:r w:rsidRPr="00831397">
        <w:rPr>
          <w:lang w:val="en-US"/>
        </w:rPr>
        <w:t xml:space="preserve">Annex II includes some of the Annex I countries, i.e. only the members of the OECD, i.e. 24 of the 43 so-called "developed countries". It is therefore the hard core of Annex I and Belgium is part of it. </w:t>
      </w:r>
    </w:p>
    <w:p w14:paraId="12BCC105" w14:textId="77777777" w:rsidR="004A3CD3" w:rsidRPr="00831397" w:rsidRDefault="006C0598">
      <w:pPr>
        <w:spacing w:line="248" w:lineRule="auto"/>
        <w:ind w:left="1040" w:right="791" w:hanging="10"/>
        <w:rPr>
          <w:lang w:val="en-US"/>
        </w:rPr>
      </w:pPr>
      <w:r w:rsidRPr="00831397">
        <w:rPr>
          <w:lang w:val="en-US"/>
        </w:rPr>
        <w:t xml:space="preserve">For example, Bulgaria, one of the poorest countries in Europe, is still included in Annex I as a developed country. However, it is not included in Annex II. </w:t>
      </w:r>
      <w:r w:rsidRPr="00831397">
        <w:rPr>
          <w:b/>
          <w:lang w:val="en-US"/>
        </w:rPr>
        <w:t>Annex II countries therefore have a very special status</w:t>
      </w:r>
      <w:r w:rsidRPr="00831397">
        <w:rPr>
          <w:lang w:val="en-US"/>
        </w:rPr>
        <w:t xml:space="preserve">.   </w:t>
      </w:r>
    </w:p>
    <w:p w14:paraId="6E458AF8" w14:textId="77777777" w:rsidR="004A3CD3" w:rsidRPr="00831397" w:rsidRDefault="006C0598">
      <w:pPr>
        <w:ind w:left="1015" w:right="794"/>
        <w:rPr>
          <w:lang w:val="en-US"/>
        </w:rPr>
      </w:pPr>
      <w:r w:rsidRPr="00831397">
        <w:rPr>
          <w:lang w:val="en-US"/>
        </w:rPr>
        <w:lastRenderedPageBreak/>
        <w:t xml:space="preserve">The </w:t>
      </w:r>
      <w:r w:rsidRPr="00831397">
        <w:rPr>
          <w:b/>
          <w:lang w:val="en-US"/>
        </w:rPr>
        <w:t xml:space="preserve">principle of common but differentiated responsibilities </w:t>
      </w:r>
      <w:r w:rsidRPr="00831397">
        <w:rPr>
          <w:lang w:val="en-US"/>
        </w:rPr>
        <w:t xml:space="preserve">is based on this classification.  Indeed, the obligations under the UNFCCC - and then under subsequent treaties - are more binding for these developed countries than for non-developed countries and not listed in the annexes. </w:t>
      </w:r>
    </w:p>
    <w:p w14:paraId="7CF14819" w14:textId="77777777" w:rsidR="004A3CD3" w:rsidRPr="00831397" w:rsidRDefault="006C0598">
      <w:pPr>
        <w:spacing w:after="267"/>
        <w:ind w:left="1015" w:right="794"/>
        <w:rPr>
          <w:lang w:val="en-US"/>
        </w:rPr>
      </w:pPr>
      <w:r w:rsidRPr="00831397">
        <w:rPr>
          <w:lang w:val="en-US"/>
        </w:rPr>
        <w:t xml:space="preserve">As an Annex I country, coupled with Annex II status, Belgium is one of the richest countries in the global community and has a </w:t>
      </w:r>
      <w:r w:rsidRPr="00831397">
        <w:rPr>
          <w:b/>
          <w:lang w:val="en-US"/>
        </w:rPr>
        <w:t xml:space="preserve">leadership </w:t>
      </w:r>
      <w:r w:rsidRPr="00831397">
        <w:rPr>
          <w:lang w:val="en-US"/>
        </w:rPr>
        <w:t xml:space="preserve">responsibility in climate governance. </w:t>
      </w:r>
    </w:p>
    <w:p w14:paraId="4F67D899" w14:textId="77777777" w:rsidR="004A3CD3" w:rsidRPr="00831397" w:rsidRDefault="006C0598">
      <w:pPr>
        <w:numPr>
          <w:ilvl w:val="0"/>
          <w:numId w:val="21"/>
        </w:numPr>
        <w:spacing w:line="248" w:lineRule="auto"/>
        <w:ind w:right="792" w:hanging="566"/>
        <w:rPr>
          <w:lang w:val="en-US"/>
        </w:rPr>
      </w:pPr>
      <w:r w:rsidRPr="00831397">
        <w:rPr>
          <w:lang w:val="en-US"/>
        </w:rPr>
        <w:t xml:space="preserve">Even before the adoption of the Bali Plan in December 2007, Annex I countries to the UNFCCC recognized the need to reduce their emissions by </w:t>
      </w:r>
      <w:r w:rsidRPr="00831397">
        <w:rPr>
          <w:b/>
          <w:lang w:val="en-US"/>
        </w:rPr>
        <w:t xml:space="preserve">25-40% by 2020 compared to </w:t>
      </w:r>
      <w:r w:rsidRPr="00831397">
        <w:rPr>
          <w:lang w:val="en-US"/>
        </w:rPr>
        <w:t>1990 levels. This is reflected in the August 2007 Report of the "</w:t>
      </w:r>
      <w:r w:rsidRPr="00831397">
        <w:rPr>
          <w:i/>
          <w:lang w:val="en-US"/>
        </w:rPr>
        <w:t>Ad Hoc Working Group on Further Commitments for Annex I Countries under the Kyoto Protocol</w:t>
      </w:r>
      <w:r w:rsidRPr="00831397">
        <w:rPr>
          <w:lang w:val="en-US"/>
        </w:rPr>
        <w:t xml:space="preserve">", which refers to the IPCC Fourth Assessment Report: </w:t>
      </w:r>
    </w:p>
    <w:p w14:paraId="5DED469D" w14:textId="77777777" w:rsidR="004A3CD3" w:rsidRPr="00831397" w:rsidRDefault="006C0598">
      <w:pPr>
        <w:spacing w:line="248" w:lineRule="auto"/>
        <w:ind w:left="1591" w:right="791" w:hanging="10"/>
        <w:rPr>
          <w:lang w:val="en-US"/>
        </w:rPr>
      </w:pPr>
      <w:r w:rsidRPr="00831397">
        <w:rPr>
          <w:i/>
          <w:lang w:val="en-US"/>
        </w:rPr>
        <w:t xml:space="preserve"> " The AWG-KP noted the usefulness of the ranges referred to in the Fourth Assessment Report [AR4, IPCC]. Recognizing the findings of the contribution of Working Group II on impacts, vulnerability and adaptation, (...) </w:t>
      </w:r>
      <w:r w:rsidRPr="00831397">
        <w:rPr>
          <w:b/>
          <w:i/>
          <w:lang w:val="en-US"/>
        </w:rPr>
        <w:t xml:space="preserve">Annex I Parties should collectively reduce their emissions </w:t>
      </w:r>
      <w:r w:rsidRPr="00831397">
        <w:rPr>
          <w:i/>
          <w:lang w:val="en-US"/>
        </w:rPr>
        <w:t xml:space="preserve">to between </w:t>
      </w:r>
      <w:r w:rsidRPr="00831397">
        <w:rPr>
          <w:b/>
          <w:i/>
          <w:lang w:val="en-US"/>
        </w:rPr>
        <w:t xml:space="preserve">25 and 40 per cent below 1990 levels by 2020 </w:t>
      </w:r>
      <w:r w:rsidRPr="00831397">
        <w:rPr>
          <w:i/>
          <w:lang w:val="en-US"/>
        </w:rPr>
        <w:t xml:space="preserve">through the means that may be available to them to achieve these targets. These ranges are taken from Box 13.7 of the Working Group III report. </w:t>
      </w:r>
      <w:r w:rsidRPr="00831397">
        <w:rPr>
          <w:b/>
          <w:i/>
          <w:lang w:val="en-US"/>
        </w:rPr>
        <w:t>They would also be much higher if only Annex I parties were to reduce their emissions</w:t>
      </w:r>
      <w:r w:rsidRPr="00831397">
        <w:rPr>
          <w:i/>
          <w:lang w:val="en-US"/>
        </w:rPr>
        <w:t>. The AWG-KP noted that the ranges of the IPCC do not take into account possible lifestyle changes that could increase the ranges. The AWG-KP further recognizes that, if Annex I Parties were to achieve these reduction targets, they would make a significant contribution to the global efforts required to achieve the ultimate objective of the Convention, as set out in its Article 2</w:t>
      </w:r>
      <w:r>
        <w:rPr>
          <w:vertAlign w:val="superscript"/>
        </w:rPr>
        <w:footnoteReference w:id="37"/>
      </w:r>
      <w:r w:rsidRPr="00831397">
        <w:rPr>
          <w:i/>
          <w:lang w:val="en-US"/>
        </w:rPr>
        <w:t xml:space="preserve">.  </w:t>
      </w:r>
    </w:p>
    <w:p w14:paraId="72BAD77D" w14:textId="77777777" w:rsidR="004A3CD3" w:rsidRPr="00831397" w:rsidRDefault="006C0598">
      <w:pPr>
        <w:spacing w:after="266" w:line="248" w:lineRule="auto"/>
        <w:ind w:left="1040" w:right="791" w:hanging="10"/>
        <w:rPr>
          <w:lang w:val="en-US"/>
        </w:rPr>
      </w:pPr>
      <w:r w:rsidRPr="00831397">
        <w:rPr>
          <w:lang w:val="en-US"/>
        </w:rPr>
        <w:t xml:space="preserve">Thus, this Working Group of Annex I parties, of which Belgium is a member, recognised - even before COP-13 (Bali, 2007) - that a reduction of 25 to 40% by 2020 is necessary and that this range could even be revised upwards. </w:t>
      </w:r>
    </w:p>
    <w:p w14:paraId="04E9CA2E" w14:textId="77777777" w:rsidR="004A3CD3" w:rsidRPr="00831397" w:rsidRDefault="006C0598">
      <w:pPr>
        <w:numPr>
          <w:ilvl w:val="0"/>
          <w:numId w:val="21"/>
        </w:numPr>
        <w:spacing w:after="69"/>
        <w:ind w:right="792" w:hanging="566"/>
        <w:rPr>
          <w:lang w:val="en-US"/>
        </w:rPr>
      </w:pPr>
      <w:r w:rsidRPr="00831397">
        <w:rPr>
          <w:lang w:val="en-US"/>
        </w:rPr>
        <w:t xml:space="preserve">Box 13.7 of the IPCC AR4, to which the above quote from the Ad Hoc Working Group of Annex I countries to the Kyoto Protocol refers, is as follows. It clearly indicates the percentage of GHG emission reductions that Annex I countries must achieve in 2020 (25-40%) and in 2050 (80-95%) to meet the 450 ppm CO </w:t>
      </w:r>
      <w:r w:rsidRPr="00831397">
        <w:rPr>
          <w:vertAlign w:val="subscript"/>
          <w:lang w:val="en-US"/>
        </w:rPr>
        <w:t>2</w:t>
      </w:r>
      <w:r w:rsidRPr="00831397">
        <w:rPr>
          <w:lang w:val="en-US"/>
        </w:rPr>
        <w:t xml:space="preserve">-eq limit. This would make it possible to avoid dangerous warming exceeding </w:t>
      </w:r>
      <w:r w:rsidRPr="00831397">
        <w:rPr>
          <w:b/>
          <w:lang w:val="en-US"/>
        </w:rPr>
        <w:t>2°C</w:t>
      </w:r>
      <w:r w:rsidRPr="00831397">
        <w:rPr>
          <w:lang w:val="en-US"/>
        </w:rPr>
        <w:t xml:space="preserve">. Let us recall that this 2007 IPCC report considered that global emissions would stabilize between 2000 and 2015, and then decrease, an assumption that ran counter to the realities observed at the time it was written and approved. Let us note the impact of this over-optimistic assumption on the reductions required to meet the 450 ppm CO </w:t>
      </w:r>
      <w:r w:rsidRPr="00831397">
        <w:rPr>
          <w:vertAlign w:val="subscript"/>
          <w:lang w:val="en-US"/>
        </w:rPr>
        <w:t>2</w:t>
      </w:r>
      <w:r w:rsidRPr="00831397">
        <w:rPr>
          <w:lang w:val="en-US"/>
        </w:rPr>
        <w:t xml:space="preserve">-eq limit. As the accumulation of GHGs in the atmosphere has simply continued to increase instead of stabilizing and then decreasing, the required reduction percentages for 2020 and 2050 have necessarily slipped towards the top of the range: towards 40% and 95%. Indeed, there is a communicating vase effect: the higher the GHG emissions in the atmosphere, the higher the percentage of emission reductions that will allow us not to exceed the 450 ppm limit. </w:t>
      </w:r>
    </w:p>
    <w:p w14:paraId="17FDEC41" w14:textId="77777777" w:rsidR="00E933CB" w:rsidRPr="00831397" w:rsidRDefault="00825B93">
      <w:pPr>
        <w:spacing w:after="21" w:line="259" w:lineRule="auto"/>
        <w:ind w:left="0" w:right="1378" w:firstLine="0"/>
        <w:jc w:val="right"/>
        <w:rPr>
          <w:lang w:val="en-US"/>
        </w:rPr>
      </w:pPr>
      <w:r>
        <w:rPr>
          <w:noProof/>
        </w:rPr>
        <w:lastRenderedPageBreak/>
        <w:drawing>
          <wp:inline distT="0" distB="0" distL="0" distR="0" wp14:anchorId="192B8114" wp14:editId="3503A579">
            <wp:extent cx="4518025" cy="2591816"/>
            <wp:effectExtent l="0" t="0" r="0" b="0"/>
            <wp:docPr id="4888" name="Picture 4888"/>
            <wp:cNvGraphicFramePr/>
            <a:graphic xmlns:a="http://schemas.openxmlformats.org/drawingml/2006/main">
              <a:graphicData uri="http://schemas.openxmlformats.org/drawingml/2006/picture">
                <pic:pic xmlns:pic="http://schemas.openxmlformats.org/drawingml/2006/picture">
                  <pic:nvPicPr>
                    <pic:cNvPr id="4888" name="Picture 4888"/>
                    <pic:cNvPicPr/>
                  </pic:nvPicPr>
                  <pic:blipFill>
                    <a:blip r:embed="rId25"/>
                    <a:stretch>
                      <a:fillRect/>
                    </a:stretch>
                  </pic:blipFill>
                  <pic:spPr>
                    <a:xfrm>
                      <a:off x="0" y="0"/>
                      <a:ext cx="4518025" cy="2591816"/>
                    </a:xfrm>
                    <a:prstGeom prst="rect">
                      <a:avLst/>
                    </a:prstGeom>
                  </pic:spPr>
                </pic:pic>
              </a:graphicData>
            </a:graphic>
          </wp:inline>
        </w:drawing>
      </w:r>
      <w:r w:rsidRPr="00831397">
        <w:rPr>
          <w:lang w:val="en-US"/>
        </w:rPr>
        <w:t xml:space="preserve"> </w:t>
      </w:r>
    </w:p>
    <w:p w14:paraId="035D2D2B" w14:textId="77777777" w:rsidR="004A3CD3" w:rsidRPr="00831397" w:rsidRDefault="006C0598">
      <w:pPr>
        <w:pStyle w:val="Heading2"/>
        <w:spacing w:after="250"/>
        <w:ind w:left="474" w:right="0"/>
        <w:rPr>
          <w:lang w:val="en-US"/>
        </w:rPr>
      </w:pPr>
      <w:bookmarkStart w:id="10" w:name="_Toc179577"/>
      <w:r w:rsidRPr="00831397">
        <w:rPr>
          <w:i/>
          <w:lang w:val="en-US"/>
        </w:rPr>
        <w:t xml:space="preserve">Figure 10 - </w:t>
      </w:r>
      <w:r w:rsidRPr="00831397">
        <w:rPr>
          <w:lang w:val="en-US"/>
        </w:rPr>
        <w:t>IPCC - 2007 Assessment Report (AR4): the necessary percentages of global GHG emission reductions to stay below the 2°C threshold</w:t>
      </w:r>
      <w:r w:rsidRPr="00831397">
        <w:rPr>
          <w:i/>
          <w:lang w:val="en-US"/>
        </w:rPr>
        <w:t xml:space="preserve">.  </w:t>
      </w:r>
      <w:bookmarkEnd w:id="10"/>
    </w:p>
    <w:p w14:paraId="289A7CE6" w14:textId="77777777" w:rsidR="00E933CB" w:rsidRPr="00831397" w:rsidRDefault="00825B93">
      <w:pPr>
        <w:spacing w:after="0" w:line="259" w:lineRule="auto"/>
        <w:ind w:left="464" w:right="0" w:firstLine="0"/>
        <w:jc w:val="left"/>
        <w:rPr>
          <w:lang w:val="en-US"/>
        </w:rPr>
      </w:pPr>
      <w:r w:rsidRPr="00831397">
        <w:rPr>
          <w:lang w:val="en-US"/>
        </w:rPr>
        <w:t xml:space="preserve"> </w:t>
      </w:r>
    </w:p>
    <w:p w14:paraId="49B658D3" w14:textId="77777777" w:rsidR="004A3CD3" w:rsidRPr="00831397" w:rsidRDefault="006C0598">
      <w:pPr>
        <w:pBdr>
          <w:top w:val="single" w:sz="6" w:space="0" w:color="000000"/>
          <w:left w:val="single" w:sz="6" w:space="0" w:color="000000"/>
          <w:bottom w:val="single" w:sz="6" w:space="0" w:color="000000"/>
          <w:right w:val="single" w:sz="6" w:space="0" w:color="000000"/>
        </w:pBdr>
        <w:spacing w:after="571" w:line="240" w:lineRule="auto"/>
        <w:ind w:left="1246" w:right="883" w:hanging="10"/>
        <w:rPr>
          <w:lang w:val="en-US"/>
        </w:rPr>
      </w:pPr>
      <w:r w:rsidRPr="00831397">
        <w:rPr>
          <w:lang w:val="en-US"/>
        </w:rPr>
        <w:t xml:space="preserve">In summary, as early as 2007, respondents knew that to avoid the dangerous </w:t>
      </w:r>
      <w:r w:rsidRPr="00831397">
        <w:rPr>
          <w:b/>
          <w:lang w:val="en-US"/>
        </w:rPr>
        <w:t xml:space="preserve">2°C </w:t>
      </w:r>
      <w:r w:rsidRPr="00831397">
        <w:rPr>
          <w:lang w:val="en-US"/>
        </w:rPr>
        <w:t xml:space="preserve">warming, </w:t>
      </w:r>
      <w:r w:rsidRPr="00831397">
        <w:rPr>
          <w:b/>
          <w:lang w:val="en-US"/>
        </w:rPr>
        <w:t xml:space="preserve">Annex I </w:t>
      </w:r>
      <w:r w:rsidRPr="00831397">
        <w:rPr>
          <w:lang w:val="en-US"/>
        </w:rPr>
        <w:t xml:space="preserve">parties had to reduce their GHG emissions by </w:t>
      </w:r>
      <w:r w:rsidRPr="00831397">
        <w:rPr>
          <w:b/>
          <w:lang w:val="en-US"/>
        </w:rPr>
        <w:t xml:space="preserve">at least 25-40% </w:t>
      </w:r>
      <w:r w:rsidRPr="00831397">
        <w:rPr>
          <w:lang w:val="en-US"/>
        </w:rPr>
        <w:t>by 2020, and by at least 80-95% by 2050 (compared to 1990 levels). This is based on the assumption that global GHG emissions would stabilize between 2000 and 2015, and then decline</w:t>
      </w:r>
      <w:r w:rsidRPr="00831397">
        <w:rPr>
          <w:b/>
          <w:lang w:val="en-US"/>
        </w:rPr>
        <w:t xml:space="preserve">. </w:t>
      </w:r>
    </w:p>
    <w:p w14:paraId="737A6540" w14:textId="77777777" w:rsidR="004A3CD3" w:rsidRPr="00831397" w:rsidRDefault="006C0598">
      <w:pPr>
        <w:numPr>
          <w:ilvl w:val="0"/>
          <w:numId w:val="22"/>
        </w:numPr>
        <w:ind w:right="794" w:hanging="566"/>
        <w:rPr>
          <w:lang w:val="en-US"/>
        </w:rPr>
      </w:pPr>
      <w:r w:rsidRPr="00831397">
        <w:rPr>
          <w:lang w:val="en-US"/>
        </w:rPr>
        <w:t xml:space="preserve">The need for </w:t>
      </w:r>
      <w:r w:rsidRPr="00831397">
        <w:rPr>
          <w:b/>
          <w:lang w:val="en-US"/>
        </w:rPr>
        <w:t xml:space="preserve">Annex I Parties to </w:t>
      </w:r>
      <w:r w:rsidRPr="00831397">
        <w:rPr>
          <w:lang w:val="en-US"/>
        </w:rPr>
        <w:t xml:space="preserve">reduce their emissions by </w:t>
      </w:r>
      <w:r w:rsidRPr="00831397">
        <w:rPr>
          <w:b/>
          <w:lang w:val="en-US"/>
        </w:rPr>
        <w:t xml:space="preserve">at least </w:t>
      </w:r>
      <w:r w:rsidRPr="00831397">
        <w:rPr>
          <w:lang w:val="en-US"/>
        </w:rPr>
        <w:t xml:space="preserve">25-40% by 2020 has been repeated from COP to COP:  </w:t>
      </w:r>
    </w:p>
    <w:p w14:paraId="398B36D8" w14:textId="77777777" w:rsidR="004A3CD3" w:rsidRDefault="006C0598">
      <w:pPr>
        <w:numPr>
          <w:ilvl w:val="1"/>
          <w:numId w:val="22"/>
        </w:numPr>
        <w:spacing w:after="68"/>
        <w:ind w:right="3593" w:hanging="360"/>
      </w:pPr>
      <w:r>
        <w:t>COP-15 (2009) Copenhagen</w:t>
      </w:r>
      <w:r>
        <w:rPr>
          <w:sz w:val="20"/>
          <w:vertAlign w:val="superscript"/>
        </w:rPr>
        <w:footnoteReference w:id="38"/>
      </w:r>
      <w:r>
        <w:t xml:space="preserve">; </w:t>
      </w:r>
    </w:p>
    <w:p w14:paraId="2CC3DA35" w14:textId="77777777" w:rsidR="004A3CD3" w:rsidRDefault="006C0598">
      <w:pPr>
        <w:numPr>
          <w:ilvl w:val="1"/>
          <w:numId w:val="22"/>
        </w:numPr>
        <w:spacing w:after="0" w:line="310" w:lineRule="auto"/>
        <w:ind w:right="3593" w:hanging="360"/>
      </w:pPr>
      <w:r>
        <w:t>COP-16 (2010) Cancun</w:t>
      </w:r>
      <w:r>
        <w:rPr>
          <w:sz w:val="20"/>
          <w:vertAlign w:val="superscript"/>
        </w:rPr>
        <w:footnoteReference w:id="39"/>
      </w:r>
      <w:r>
        <w:t xml:space="preserve">; - </w:t>
      </w:r>
      <w:r>
        <w:rPr>
          <w:rFonts w:ascii="Arial" w:eastAsia="Arial" w:hAnsi="Arial" w:cs="Arial"/>
        </w:rPr>
        <w:tab/>
      </w:r>
      <w:r>
        <w:t>COP-17 (2011) Durban</w:t>
      </w:r>
      <w:r>
        <w:rPr>
          <w:sz w:val="20"/>
          <w:vertAlign w:val="superscript"/>
        </w:rPr>
        <w:footnoteReference w:id="40"/>
      </w:r>
      <w:r>
        <w:t xml:space="preserve">; </w:t>
      </w:r>
    </w:p>
    <w:p w14:paraId="7096DFA5" w14:textId="77777777" w:rsidR="004A3CD3" w:rsidRDefault="006C0598">
      <w:pPr>
        <w:numPr>
          <w:ilvl w:val="1"/>
          <w:numId w:val="22"/>
        </w:numPr>
        <w:spacing w:after="69"/>
        <w:ind w:right="3593" w:hanging="360"/>
      </w:pPr>
      <w:r>
        <w:t>COP-18 (2012) Doha</w:t>
      </w:r>
      <w:r>
        <w:rPr>
          <w:sz w:val="20"/>
          <w:vertAlign w:val="superscript"/>
        </w:rPr>
        <w:footnoteReference w:id="41"/>
      </w:r>
      <w:r>
        <w:t xml:space="preserve">; </w:t>
      </w:r>
    </w:p>
    <w:p w14:paraId="670EA637" w14:textId="77777777" w:rsidR="004A3CD3" w:rsidRPr="00831397" w:rsidRDefault="006C0598">
      <w:pPr>
        <w:numPr>
          <w:ilvl w:val="1"/>
          <w:numId w:val="22"/>
        </w:numPr>
        <w:spacing w:after="249" w:line="309" w:lineRule="auto"/>
        <w:ind w:right="3593" w:hanging="360"/>
        <w:rPr>
          <w:lang w:val="en-US"/>
        </w:rPr>
      </w:pPr>
      <w:r w:rsidRPr="00831397">
        <w:rPr>
          <w:lang w:val="en-US"/>
        </w:rPr>
        <w:lastRenderedPageBreak/>
        <w:t xml:space="preserve">COP-19 (2013) Warsaw; - </w:t>
      </w:r>
      <w:r>
        <w:rPr>
          <w:sz w:val="20"/>
          <w:vertAlign w:val="superscript"/>
        </w:rPr>
        <w:footnoteReference w:id="42"/>
      </w:r>
      <w:r w:rsidRPr="00831397">
        <w:rPr>
          <w:rFonts w:ascii="Arial" w:eastAsia="Arial" w:hAnsi="Arial" w:cs="Arial"/>
          <w:lang w:val="en-US"/>
        </w:rPr>
        <w:tab/>
      </w:r>
      <w:r w:rsidRPr="00831397">
        <w:rPr>
          <w:lang w:val="en-US"/>
        </w:rPr>
        <w:t xml:space="preserve">COP-20 (2014) Lima; - </w:t>
      </w:r>
      <w:r>
        <w:rPr>
          <w:sz w:val="20"/>
          <w:vertAlign w:val="superscript"/>
        </w:rPr>
        <w:footnoteReference w:id="43"/>
      </w:r>
      <w:r w:rsidRPr="00831397">
        <w:rPr>
          <w:rFonts w:ascii="Arial" w:eastAsia="Arial" w:hAnsi="Arial" w:cs="Arial"/>
          <w:lang w:val="en-US"/>
        </w:rPr>
        <w:tab/>
      </w:r>
      <w:r w:rsidRPr="00831397">
        <w:rPr>
          <w:lang w:val="en-US"/>
        </w:rPr>
        <w:t>COP-21 (2015) Paris</w:t>
      </w:r>
      <w:r>
        <w:rPr>
          <w:sz w:val="20"/>
          <w:vertAlign w:val="superscript"/>
        </w:rPr>
        <w:footnoteReference w:id="44"/>
      </w:r>
      <w:r w:rsidRPr="00831397">
        <w:rPr>
          <w:lang w:val="en-US"/>
        </w:rPr>
        <w:t xml:space="preserve">. </w:t>
      </w:r>
    </w:p>
    <w:p w14:paraId="380B6DC3" w14:textId="77777777" w:rsidR="004A3CD3" w:rsidRPr="00831397" w:rsidRDefault="006C0598">
      <w:pPr>
        <w:numPr>
          <w:ilvl w:val="0"/>
          <w:numId w:val="22"/>
        </w:numPr>
        <w:spacing w:after="230"/>
        <w:ind w:right="794" w:hanging="566"/>
        <w:rPr>
          <w:lang w:val="en-US"/>
        </w:rPr>
      </w:pPr>
      <w:r w:rsidRPr="00831397">
        <w:rPr>
          <w:lang w:val="en-US"/>
        </w:rPr>
        <w:t xml:space="preserve">It appears from the above that from COP-13 in Bali in 2007 to COP-21 in Paris in 2015, it has been agreed and re-agreed each year that, to avoid dangerous warming understood as </w:t>
      </w:r>
      <w:r w:rsidRPr="00831397">
        <w:rPr>
          <w:b/>
          <w:lang w:val="en-US"/>
        </w:rPr>
        <w:t>2°C</w:t>
      </w:r>
      <w:r w:rsidRPr="00831397">
        <w:rPr>
          <w:lang w:val="en-US"/>
        </w:rPr>
        <w:t xml:space="preserve">, </w:t>
      </w:r>
      <w:r w:rsidRPr="00831397">
        <w:rPr>
          <w:b/>
          <w:lang w:val="en-US"/>
        </w:rPr>
        <w:t xml:space="preserve">Annex I countries </w:t>
      </w:r>
      <w:r w:rsidRPr="00831397">
        <w:rPr>
          <w:lang w:val="en-US"/>
        </w:rPr>
        <w:t xml:space="preserve">should reduce their GHG emissions by </w:t>
      </w:r>
      <w:r w:rsidRPr="00831397">
        <w:rPr>
          <w:b/>
          <w:lang w:val="en-US"/>
        </w:rPr>
        <w:t xml:space="preserve">at least 25-40% </w:t>
      </w:r>
      <w:r w:rsidRPr="00831397">
        <w:rPr>
          <w:lang w:val="en-US"/>
        </w:rPr>
        <w:t xml:space="preserve">by 2020.  </w:t>
      </w:r>
    </w:p>
    <w:p w14:paraId="297EAD41" w14:textId="77777777" w:rsidR="004A3CD3" w:rsidRPr="00831397" w:rsidRDefault="006C0598">
      <w:pPr>
        <w:spacing w:after="268"/>
        <w:ind w:left="1015" w:right="794"/>
        <w:rPr>
          <w:lang w:val="en-US"/>
        </w:rPr>
      </w:pPr>
      <w:r w:rsidRPr="00831397">
        <w:rPr>
          <w:lang w:val="en-US"/>
        </w:rPr>
        <w:t xml:space="preserve">The Party countries themselves, including Belgium, have therefore not only determined, on the basis of the best available and universally accepted science, what the threshold of dangerous warming is, but they have also determined what measures should be taken to avoid exceeding this threshold. This factual finding is very important. We will come back to it later. </w:t>
      </w:r>
    </w:p>
    <w:p w14:paraId="7BC9612A" w14:textId="77777777" w:rsidR="004A3CD3" w:rsidRPr="00831397" w:rsidRDefault="006C0598">
      <w:pPr>
        <w:spacing w:after="264" w:line="248" w:lineRule="auto"/>
        <w:ind w:left="1015" w:right="787" w:hanging="566"/>
        <w:jc w:val="left"/>
        <w:rPr>
          <w:lang w:val="en-US"/>
        </w:rPr>
      </w:pPr>
      <w:r w:rsidRPr="00831397">
        <w:rPr>
          <w:b/>
          <w:i/>
          <w:lang w:val="en-US"/>
        </w:rPr>
        <w:t xml:space="preserve">B. </w:t>
      </w:r>
      <w:r w:rsidRPr="00831397">
        <w:rPr>
          <w:b/>
          <w:i/>
          <w:u w:val="single" w:color="000000"/>
          <w:lang w:val="en-US"/>
        </w:rPr>
        <w:t xml:space="preserve">1.5°C - 430 ppm CO </w:t>
      </w:r>
      <w:r w:rsidRPr="00831397">
        <w:rPr>
          <w:b/>
          <w:i/>
          <w:u w:val="single" w:color="000000"/>
          <w:vertAlign w:val="subscript"/>
          <w:lang w:val="en-US"/>
        </w:rPr>
        <w:t>2</w:t>
      </w:r>
      <w:r w:rsidRPr="00831397">
        <w:rPr>
          <w:b/>
          <w:i/>
          <w:u w:val="single" w:color="000000"/>
          <w:lang w:val="en-US"/>
        </w:rPr>
        <w:t xml:space="preserve">-eq. - necessarily more than 25 to 40% reduction in GHG emissions by 2020 </w:t>
      </w:r>
    </w:p>
    <w:p w14:paraId="77A17E31" w14:textId="77777777" w:rsidR="004A3CD3" w:rsidRPr="00831397" w:rsidRDefault="006C0598">
      <w:pPr>
        <w:numPr>
          <w:ilvl w:val="0"/>
          <w:numId w:val="23"/>
        </w:numPr>
        <w:spacing w:line="248" w:lineRule="auto"/>
        <w:ind w:right="794" w:hanging="566"/>
        <w:rPr>
          <w:lang w:val="en-US"/>
        </w:rPr>
      </w:pPr>
      <w:r w:rsidRPr="00831397">
        <w:rPr>
          <w:lang w:val="en-US"/>
        </w:rPr>
        <w:t xml:space="preserve">The international consensus has gradually formed around abandoning the 2°C threshold and moving towards the 1.5°C target.   </w:t>
      </w:r>
      <w:r w:rsidRPr="00831397">
        <w:rPr>
          <w:lang w:val="en-US"/>
        </w:rPr>
        <w:br w:type="page"/>
      </w:r>
    </w:p>
    <w:p w14:paraId="09731A69" w14:textId="77777777" w:rsidR="004A3CD3" w:rsidRPr="00831397" w:rsidRDefault="006C0598">
      <w:pPr>
        <w:numPr>
          <w:ilvl w:val="0"/>
          <w:numId w:val="23"/>
        </w:numPr>
        <w:spacing w:after="282"/>
        <w:ind w:right="794" w:hanging="566"/>
        <w:rPr>
          <w:lang w:val="en-US"/>
        </w:rPr>
      </w:pPr>
      <w:r w:rsidRPr="00831397">
        <w:rPr>
          <w:lang w:val="en-US"/>
        </w:rPr>
        <w:lastRenderedPageBreak/>
        <w:t xml:space="preserve">In its AR4, the IPCC indicates that limiting the temperature increase to </w:t>
      </w:r>
      <w:r w:rsidRPr="00831397">
        <w:rPr>
          <w:b/>
          <w:lang w:val="en-US"/>
        </w:rPr>
        <w:t xml:space="preserve">1.5°C </w:t>
      </w:r>
      <w:r w:rsidRPr="00831397">
        <w:rPr>
          <w:lang w:val="en-US"/>
        </w:rPr>
        <w:t xml:space="preserve">implies a global carbon budget of </w:t>
      </w:r>
      <w:r w:rsidRPr="00831397">
        <w:rPr>
          <w:b/>
          <w:lang w:val="en-US"/>
        </w:rPr>
        <w:t xml:space="preserve">430 ppm CO </w:t>
      </w:r>
      <w:r w:rsidRPr="00831397">
        <w:rPr>
          <w:b/>
          <w:vertAlign w:val="subscript"/>
          <w:lang w:val="en-US"/>
        </w:rPr>
        <w:t>2</w:t>
      </w:r>
      <w:r w:rsidRPr="00831397">
        <w:rPr>
          <w:b/>
          <w:lang w:val="en-US"/>
        </w:rPr>
        <w:t>-eq</w:t>
      </w:r>
      <w:r w:rsidRPr="00831397">
        <w:rPr>
          <w:lang w:val="en-US"/>
        </w:rPr>
        <w:t xml:space="preserve"> </w:t>
      </w:r>
      <w:r w:rsidRPr="00831397">
        <w:rPr>
          <w:sz w:val="20"/>
          <w:vertAlign w:val="superscript"/>
          <w:lang w:val="en-US"/>
        </w:rPr>
        <w:t xml:space="preserve"> </w:t>
      </w:r>
      <w:r>
        <w:rPr>
          <w:sz w:val="20"/>
          <w:vertAlign w:val="superscript"/>
        </w:rPr>
        <w:footnoteReference w:id="45"/>
      </w:r>
      <w:r w:rsidRPr="00831397">
        <w:rPr>
          <w:lang w:val="en-US"/>
        </w:rPr>
        <w:t xml:space="preserve">.   </w:t>
      </w:r>
    </w:p>
    <w:p w14:paraId="1FC8E452" w14:textId="77777777" w:rsidR="004A3CD3" w:rsidRPr="00831397" w:rsidRDefault="006C0598">
      <w:pPr>
        <w:numPr>
          <w:ilvl w:val="0"/>
          <w:numId w:val="23"/>
        </w:numPr>
        <w:spacing w:after="227"/>
        <w:ind w:right="794" w:hanging="566"/>
        <w:rPr>
          <w:lang w:val="en-US"/>
        </w:rPr>
      </w:pPr>
      <w:r w:rsidRPr="00831397">
        <w:rPr>
          <w:b/>
          <w:lang w:val="en-US"/>
        </w:rPr>
        <w:t xml:space="preserve">What actions </w:t>
      </w:r>
      <w:r w:rsidRPr="00831397">
        <w:rPr>
          <w:lang w:val="en-US"/>
        </w:rPr>
        <w:t xml:space="preserve">were needed to limit GHG concentrations to 430 ppm CO </w:t>
      </w:r>
      <w:r w:rsidRPr="00831397">
        <w:rPr>
          <w:vertAlign w:val="subscript"/>
          <w:lang w:val="en-US"/>
        </w:rPr>
        <w:t>2</w:t>
      </w:r>
      <w:r w:rsidRPr="00831397">
        <w:rPr>
          <w:lang w:val="en-US"/>
        </w:rPr>
        <w:t xml:space="preserve">-eq? </w:t>
      </w:r>
    </w:p>
    <w:p w14:paraId="78EBDDC6" w14:textId="77777777" w:rsidR="004A3CD3" w:rsidRPr="00831397" w:rsidRDefault="006C0598">
      <w:pPr>
        <w:ind w:left="1015" w:right="794"/>
        <w:rPr>
          <w:lang w:val="en-US"/>
        </w:rPr>
      </w:pPr>
      <w:r w:rsidRPr="00831397">
        <w:rPr>
          <w:lang w:val="en-US"/>
        </w:rPr>
        <w:t xml:space="preserve">It is clear that if Annex I Parties were to reduce their emissions by at least 25-40% by 2020 to avoid exceeding 450 ppm CO </w:t>
      </w:r>
      <w:r w:rsidRPr="00831397">
        <w:rPr>
          <w:vertAlign w:val="subscript"/>
          <w:lang w:val="en-US"/>
        </w:rPr>
        <w:t>2</w:t>
      </w:r>
      <w:r w:rsidRPr="00831397">
        <w:rPr>
          <w:lang w:val="en-US"/>
        </w:rPr>
        <w:t xml:space="preserve">-eq (and by 80-95% in 2050), they would necessarily have to </w:t>
      </w:r>
      <w:r w:rsidRPr="00831397">
        <w:rPr>
          <w:b/>
          <w:lang w:val="en-US"/>
        </w:rPr>
        <w:t xml:space="preserve">reduce even more by </w:t>
      </w:r>
      <w:r w:rsidRPr="00831397">
        <w:rPr>
          <w:lang w:val="en-US"/>
        </w:rPr>
        <w:t xml:space="preserve">2020 to avoid exceeding 430 ppm CO </w:t>
      </w:r>
      <w:r w:rsidRPr="00831397">
        <w:rPr>
          <w:vertAlign w:val="subscript"/>
          <w:lang w:val="en-US"/>
        </w:rPr>
        <w:t>2</w:t>
      </w:r>
      <w:r w:rsidRPr="00831397">
        <w:rPr>
          <w:lang w:val="en-US"/>
        </w:rPr>
        <w:t xml:space="preserve">-eq.  </w:t>
      </w:r>
    </w:p>
    <w:p w14:paraId="0BA7F9C8" w14:textId="77777777" w:rsidR="004A3CD3" w:rsidRPr="00831397" w:rsidRDefault="006C0598">
      <w:pPr>
        <w:spacing w:after="289" w:line="248" w:lineRule="auto"/>
        <w:ind w:left="1040" w:right="791" w:hanging="10"/>
        <w:rPr>
          <w:lang w:val="en-US"/>
        </w:rPr>
      </w:pPr>
      <w:r w:rsidRPr="00831397">
        <w:rPr>
          <w:lang w:val="en-US"/>
        </w:rPr>
        <w:t xml:space="preserve">Thus, just because the 430 ppm CO </w:t>
      </w:r>
      <w:r w:rsidRPr="00831397">
        <w:rPr>
          <w:vertAlign w:val="subscript"/>
          <w:lang w:val="en-US"/>
        </w:rPr>
        <w:t>2</w:t>
      </w:r>
      <w:r w:rsidRPr="00831397">
        <w:rPr>
          <w:lang w:val="en-US"/>
        </w:rPr>
        <w:t xml:space="preserve">-eq target was not explicitly translated into new emission reduction percentages in successive COPs does not mean that reductions were not needed. States Parties were well aware of what they had to do to avoid dangerous warming.   </w:t>
      </w:r>
    </w:p>
    <w:p w14:paraId="46262314" w14:textId="77777777" w:rsidR="004A3CD3" w:rsidRPr="00831397" w:rsidRDefault="006C0598">
      <w:pPr>
        <w:spacing w:after="243" w:line="250" w:lineRule="auto"/>
        <w:ind w:left="1025" w:right="787" w:hanging="562"/>
        <w:rPr>
          <w:lang w:val="en-US"/>
        </w:rPr>
      </w:pPr>
      <w:r>
        <w:rPr>
          <w:noProof/>
        </w:rPr>
        <w:drawing>
          <wp:inline distT="0" distB="0" distL="0" distR="0" wp14:anchorId="67EFD830" wp14:editId="7745A358">
            <wp:extent cx="177546" cy="105918"/>
            <wp:effectExtent l="0" t="0" r="0" b="0"/>
            <wp:docPr id="5344" name="Picture 5344"/>
            <wp:cNvGraphicFramePr/>
            <a:graphic xmlns:a="http://schemas.openxmlformats.org/drawingml/2006/main">
              <a:graphicData uri="http://schemas.openxmlformats.org/drawingml/2006/picture">
                <pic:pic xmlns:pic="http://schemas.openxmlformats.org/drawingml/2006/picture">
                  <pic:nvPicPr>
                    <pic:cNvPr id="5344" name="Picture 5344"/>
                    <pic:cNvPicPr/>
                  </pic:nvPicPr>
                  <pic:blipFill>
                    <a:blip r:embed="rId26"/>
                    <a:stretch>
                      <a:fillRect/>
                    </a:stretch>
                  </pic:blipFill>
                  <pic:spPr>
                    <a:xfrm>
                      <a:off x="0" y="0"/>
                      <a:ext cx="177546" cy="105918"/>
                    </a:xfrm>
                    <a:prstGeom prst="rect">
                      <a:avLst/>
                    </a:prstGeom>
                  </pic:spPr>
                </pic:pic>
              </a:graphicData>
            </a:graphic>
          </wp:inline>
        </w:drawing>
      </w:r>
      <w:r w:rsidRPr="00831397">
        <w:rPr>
          <w:b/>
          <w:sz w:val="24"/>
          <w:u w:val="single" w:color="000000"/>
          <w:lang w:val="en-US"/>
        </w:rPr>
        <w:t xml:space="preserve"> The explicit recognition by the respondents of the need to reduce the </w:t>
      </w:r>
    </w:p>
    <w:p w14:paraId="401CA3A9" w14:textId="77777777" w:rsidR="004A3CD3" w:rsidRPr="00831397" w:rsidRDefault="006C0598">
      <w:pPr>
        <w:spacing w:after="243" w:line="250" w:lineRule="auto"/>
        <w:ind w:left="1025" w:right="787" w:hanging="562"/>
        <w:rPr>
          <w:lang w:val="en-US"/>
        </w:rPr>
      </w:pPr>
      <w:r w:rsidRPr="00831397">
        <w:rPr>
          <w:b/>
          <w:sz w:val="24"/>
          <w:u w:val="single" w:color="000000"/>
          <w:lang w:val="en-US"/>
        </w:rPr>
        <w:t xml:space="preserve">GHG emissions by at least 25% to 40% by 2020 </w:t>
      </w:r>
    </w:p>
    <w:p w14:paraId="25BF6BBA" w14:textId="77777777" w:rsidR="004A3CD3" w:rsidRPr="00831397" w:rsidRDefault="006C0598">
      <w:pPr>
        <w:numPr>
          <w:ilvl w:val="0"/>
          <w:numId w:val="23"/>
        </w:numPr>
        <w:spacing w:after="266" w:line="248" w:lineRule="auto"/>
        <w:ind w:right="794" w:hanging="566"/>
        <w:rPr>
          <w:lang w:val="en-US"/>
        </w:rPr>
      </w:pPr>
      <w:r w:rsidRPr="00831397">
        <w:rPr>
          <w:lang w:val="en-US"/>
        </w:rPr>
        <w:t xml:space="preserve">It follows from the above that it is </w:t>
      </w:r>
      <w:r w:rsidRPr="00831397">
        <w:rPr>
          <w:b/>
          <w:lang w:val="en-US"/>
        </w:rPr>
        <w:t xml:space="preserve">impossible that </w:t>
      </w:r>
      <w:r w:rsidRPr="00831397">
        <w:rPr>
          <w:lang w:val="en-US"/>
        </w:rPr>
        <w:t xml:space="preserve">the Respondents were not aware of the percentages of emission reductions since 2007: </w:t>
      </w:r>
    </w:p>
    <w:p w14:paraId="3B949689" w14:textId="77777777" w:rsidR="004A3CD3" w:rsidRPr="00831397" w:rsidRDefault="006C0598">
      <w:pPr>
        <w:numPr>
          <w:ilvl w:val="1"/>
          <w:numId w:val="23"/>
        </w:numPr>
        <w:spacing w:after="7"/>
        <w:ind w:right="794" w:hanging="360"/>
        <w:rPr>
          <w:lang w:val="en-US"/>
        </w:rPr>
      </w:pPr>
      <w:r w:rsidRPr="00831397">
        <w:rPr>
          <w:lang w:val="en-US"/>
        </w:rPr>
        <w:t xml:space="preserve">As a member of the IPCC, Belgium followed the elaboration and conclusion of the AR4 of 2007, which played a pivotal role in the knowledge and dissemination of the reduction percentages required to avoid dangerous warming understood as a warming of 2°C; </w:t>
      </w:r>
    </w:p>
    <w:p w14:paraId="4E5FE90D" w14:textId="77777777" w:rsidR="00E933CB" w:rsidRPr="00831397" w:rsidRDefault="00825B93">
      <w:pPr>
        <w:spacing w:after="9" w:line="259" w:lineRule="auto"/>
        <w:ind w:left="464" w:right="0" w:firstLine="0"/>
        <w:jc w:val="left"/>
        <w:rPr>
          <w:lang w:val="en-US"/>
        </w:rPr>
      </w:pPr>
      <w:r w:rsidRPr="00831397">
        <w:rPr>
          <w:lang w:val="en-US"/>
        </w:rPr>
        <w:t xml:space="preserve"> </w:t>
      </w:r>
      <w:r w:rsidRPr="00831397">
        <w:rPr>
          <w:lang w:val="en-US"/>
        </w:rPr>
        <w:tab/>
        <w:t xml:space="preserve"> </w:t>
      </w:r>
    </w:p>
    <w:p w14:paraId="507C650C" w14:textId="77777777" w:rsidR="004A3CD3" w:rsidRPr="00831397" w:rsidRDefault="006C0598">
      <w:pPr>
        <w:numPr>
          <w:ilvl w:val="1"/>
          <w:numId w:val="23"/>
        </w:numPr>
        <w:spacing w:after="267"/>
        <w:ind w:right="794" w:hanging="360"/>
        <w:rPr>
          <w:lang w:val="en-US"/>
        </w:rPr>
      </w:pPr>
      <w:r w:rsidRPr="00831397">
        <w:rPr>
          <w:lang w:val="en-US"/>
        </w:rPr>
        <w:t>As a Party to the UNFCCC and more specifically as an Annex I Party to the UNFCCC, Belgium was present at the COP and MOP decisions in Bali (2007), Poznan (2008), Copenhagen (2009), Cancun (2010), Durban (2011), Doha (2012), Warsaw (2013), Lima (2014) and Paris (2015) where the need for these reductions for Annex I countries was made explicit and the respondents were involved in these diplomatic meetings.</w:t>
      </w:r>
    </w:p>
    <w:p w14:paraId="4F3D6895" w14:textId="77777777" w:rsidR="004A3CD3" w:rsidRPr="00831397" w:rsidRDefault="006C0598">
      <w:pPr>
        <w:numPr>
          <w:ilvl w:val="0"/>
          <w:numId w:val="23"/>
        </w:numPr>
        <w:spacing w:after="267"/>
        <w:ind w:right="794" w:hanging="566"/>
        <w:rPr>
          <w:lang w:val="en-US"/>
        </w:rPr>
      </w:pPr>
      <w:r w:rsidRPr="00831397">
        <w:rPr>
          <w:lang w:val="en-US"/>
        </w:rPr>
        <w:t xml:space="preserve">Not only were the respondents aware of the mitigation measures to be taken, but they </w:t>
      </w:r>
      <w:r w:rsidRPr="00831397">
        <w:rPr>
          <w:b/>
          <w:lang w:val="en-US"/>
        </w:rPr>
        <w:t xml:space="preserve">expressly </w:t>
      </w:r>
      <w:r w:rsidRPr="00831397">
        <w:rPr>
          <w:lang w:val="en-US"/>
        </w:rPr>
        <w:t xml:space="preserve">acknowledged the scientific need for them.  </w:t>
      </w:r>
    </w:p>
    <w:p w14:paraId="01E1F333" w14:textId="77777777" w:rsidR="004A3CD3" w:rsidRPr="00831397" w:rsidRDefault="006C0598">
      <w:pPr>
        <w:numPr>
          <w:ilvl w:val="0"/>
          <w:numId w:val="23"/>
        </w:numPr>
        <w:ind w:right="794" w:hanging="566"/>
        <w:rPr>
          <w:lang w:val="en-US"/>
        </w:rPr>
      </w:pPr>
      <w:r w:rsidRPr="00831397">
        <w:rPr>
          <w:lang w:val="en-US"/>
        </w:rPr>
        <w:t xml:space="preserve">This is evidenced by official documents of the time. These documents show that the Respondents were aware of their heightened responsibility as an Annex I developed country. </w:t>
      </w:r>
    </w:p>
    <w:p w14:paraId="543BA18D" w14:textId="77777777" w:rsidR="004A3CD3" w:rsidRPr="00831397" w:rsidRDefault="006C0598">
      <w:pPr>
        <w:ind w:left="1015" w:right="794"/>
        <w:rPr>
          <w:lang w:val="en-US"/>
        </w:rPr>
      </w:pPr>
      <w:r w:rsidRPr="00831397">
        <w:rPr>
          <w:lang w:val="en-US"/>
        </w:rPr>
        <w:t>For example, in view of the COP-15 in Copenhagen, the Belgian Parliament requested, in a resolution of 3 December 2009, that the federal government advocate, on an international scale, a reduction of greenhouse gases by 25-40% by 2020 and 80-95% by 2050</w:t>
      </w:r>
      <w:r>
        <w:rPr>
          <w:vertAlign w:val="superscript"/>
        </w:rPr>
        <w:footnoteReference w:id="46"/>
      </w:r>
      <w:r w:rsidRPr="00831397">
        <w:rPr>
          <w:lang w:val="en-US"/>
        </w:rPr>
        <w:t xml:space="preserve">. </w:t>
      </w:r>
    </w:p>
    <w:p w14:paraId="0EB176A5" w14:textId="77777777" w:rsidR="004A3CD3" w:rsidRPr="00831397" w:rsidRDefault="006C0598">
      <w:pPr>
        <w:ind w:left="1015" w:right="794"/>
        <w:rPr>
          <w:lang w:val="en-US"/>
        </w:rPr>
      </w:pPr>
      <w:r w:rsidRPr="00831397">
        <w:rPr>
          <w:lang w:val="en-US"/>
        </w:rPr>
        <w:t xml:space="preserve">As far as the Flemish Region is concerned, we can report the following documents. </w:t>
      </w:r>
    </w:p>
    <w:p w14:paraId="492148F2" w14:textId="77777777" w:rsidR="004A3CD3" w:rsidRPr="00831397" w:rsidRDefault="006C0598">
      <w:pPr>
        <w:spacing w:after="131"/>
        <w:ind w:left="1015" w:right="794"/>
        <w:rPr>
          <w:lang w:val="en-US"/>
        </w:rPr>
      </w:pPr>
      <w:r w:rsidRPr="00831397">
        <w:rPr>
          <w:lang w:val="en-US"/>
        </w:rPr>
        <w:t xml:space="preserve">An opinion of the Minaraad (Flemish Council for the Environment and Nature) to the Flemish Parliament of 4 December 2009 </w:t>
      </w:r>
      <w:r>
        <w:rPr>
          <w:sz w:val="20"/>
          <w:vertAlign w:val="superscript"/>
        </w:rPr>
        <w:footnoteReference w:id="47"/>
      </w:r>
      <w:r w:rsidRPr="00831397">
        <w:rPr>
          <w:lang w:val="en-US"/>
        </w:rPr>
        <w:t xml:space="preserve">states the following with regard to 2020: </w:t>
      </w:r>
    </w:p>
    <w:p w14:paraId="1CF83DD0" w14:textId="77777777" w:rsidR="004A3CD3" w:rsidRPr="00831397" w:rsidRDefault="006C0598">
      <w:pPr>
        <w:ind w:left="1591" w:right="792" w:hanging="10"/>
        <w:rPr>
          <w:lang w:val="en-US"/>
        </w:rPr>
      </w:pPr>
      <w:r w:rsidRPr="00831397">
        <w:rPr>
          <w:lang w:val="en-US"/>
        </w:rPr>
        <w:t>"</w:t>
      </w:r>
      <w:r w:rsidRPr="00831397">
        <w:rPr>
          <w:i/>
          <w:lang w:val="en-US"/>
        </w:rPr>
        <w:t xml:space="preserve">According to the Fourth Assessment Report, the group of developed countries needs to reduce its emissions by 25-40% below 1990 levels by 2020 in order to limit the temperature increase to 2-2.4°C. The Minaraad emphasizes that </w:t>
      </w:r>
      <w:r w:rsidRPr="00831397">
        <w:rPr>
          <w:b/>
          <w:i/>
          <w:lang w:val="en-US"/>
        </w:rPr>
        <w:t xml:space="preserve">the emission reductions </w:t>
      </w:r>
      <w:r w:rsidRPr="00831397">
        <w:rPr>
          <w:b/>
          <w:i/>
          <w:lang w:val="en-US"/>
        </w:rPr>
        <w:lastRenderedPageBreak/>
        <w:t>needed for developed countries will have to be at the higher end of this range (25-40%)</w:t>
      </w:r>
      <w:r w:rsidRPr="00831397">
        <w:rPr>
          <w:lang w:val="en-US"/>
        </w:rPr>
        <w:t>"</w:t>
      </w:r>
      <w:r w:rsidRPr="00831397">
        <w:rPr>
          <w:i/>
          <w:lang w:val="en-US"/>
        </w:rPr>
        <w:t xml:space="preserve"> </w:t>
      </w:r>
      <w:r>
        <w:rPr>
          <w:sz w:val="20"/>
          <w:vertAlign w:val="superscript"/>
        </w:rPr>
        <w:footnoteReference w:id="48"/>
      </w:r>
      <w:r w:rsidRPr="00831397">
        <w:rPr>
          <w:lang w:val="en-US"/>
        </w:rPr>
        <w:t xml:space="preserve">(emphasis added)    </w:t>
      </w:r>
    </w:p>
    <w:p w14:paraId="7A681C7E" w14:textId="77777777" w:rsidR="004A3CD3" w:rsidRPr="00831397" w:rsidRDefault="006C0598">
      <w:pPr>
        <w:ind w:left="1015" w:right="794"/>
        <w:rPr>
          <w:lang w:val="en-US"/>
        </w:rPr>
      </w:pPr>
      <w:r w:rsidRPr="00831397">
        <w:rPr>
          <w:lang w:val="en-US"/>
        </w:rPr>
        <w:t xml:space="preserve">With regard to 2050, the Minaraad, again in 2009, clarifies the following: </w:t>
      </w:r>
    </w:p>
    <w:p w14:paraId="0719F601" w14:textId="77777777" w:rsidR="004A3CD3" w:rsidRPr="00831397" w:rsidRDefault="006C0598">
      <w:pPr>
        <w:ind w:left="1591" w:right="792" w:hanging="10"/>
        <w:rPr>
          <w:lang w:val="en-US"/>
        </w:rPr>
      </w:pPr>
      <w:r w:rsidRPr="00831397">
        <w:rPr>
          <w:lang w:val="en-US"/>
        </w:rPr>
        <w:t>"</w:t>
      </w:r>
      <w:r w:rsidRPr="00831397">
        <w:rPr>
          <w:i/>
          <w:lang w:val="en-US"/>
        </w:rPr>
        <w:t xml:space="preserve">That emissions should be reduced by 80-95% by 2050 compared to 1990 levels. Minaraad... points out that there are more recent studies that indicate that global reductions </w:t>
      </w:r>
      <w:r w:rsidRPr="00831397">
        <w:rPr>
          <w:b/>
          <w:i/>
          <w:lang w:val="en-US"/>
        </w:rPr>
        <w:t xml:space="preserve">should be greater than those projected by the IPCC </w:t>
      </w:r>
      <w:r w:rsidRPr="00831397">
        <w:rPr>
          <w:i/>
          <w:lang w:val="en-US"/>
        </w:rPr>
        <w:t>in its latest report (+50%)</w:t>
      </w:r>
      <w:r w:rsidRPr="00831397">
        <w:rPr>
          <w:lang w:val="en-US"/>
        </w:rPr>
        <w:t>"</w:t>
      </w:r>
      <w:r w:rsidRPr="00831397">
        <w:rPr>
          <w:i/>
          <w:lang w:val="en-US"/>
        </w:rPr>
        <w:t xml:space="preserve"> </w:t>
      </w:r>
      <w:r w:rsidRPr="00831397">
        <w:rPr>
          <w:sz w:val="20"/>
          <w:vertAlign w:val="superscript"/>
          <w:lang w:val="en-US"/>
        </w:rPr>
        <w:t xml:space="preserve"> </w:t>
      </w:r>
      <w:r>
        <w:rPr>
          <w:sz w:val="20"/>
          <w:vertAlign w:val="superscript"/>
        </w:rPr>
        <w:footnoteReference w:id="49"/>
      </w:r>
      <w:r w:rsidRPr="00831397">
        <w:rPr>
          <w:lang w:val="en-US"/>
        </w:rPr>
        <w:t xml:space="preserve">(emphasis added).    </w:t>
      </w:r>
    </w:p>
    <w:p w14:paraId="09FF2AF4" w14:textId="77777777" w:rsidR="004A3CD3" w:rsidRPr="00831397" w:rsidRDefault="006C0598">
      <w:pPr>
        <w:ind w:left="1015" w:right="794"/>
        <w:rPr>
          <w:lang w:val="en-US"/>
        </w:rPr>
      </w:pPr>
      <w:r w:rsidRPr="00831397">
        <w:rPr>
          <w:lang w:val="en-US"/>
        </w:rPr>
        <w:t xml:space="preserve">On the basis of these findings, the Flemish Parliament adopted a resolution on 9 December 2009 in which the necessary reduction percentages for 2020 and 2050 were included: </w:t>
      </w:r>
    </w:p>
    <w:p w14:paraId="1D1F9B06" w14:textId="77777777" w:rsidR="004A3CD3" w:rsidRPr="00831397" w:rsidRDefault="006C0598">
      <w:pPr>
        <w:ind w:left="1591" w:right="792" w:hanging="10"/>
        <w:rPr>
          <w:lang w:val="en-US"/>
        </w:rPr>
      </w:pPr>
      <w:r w:rsidRPr="00831397">
        <w:rPr>
          <w:lang w:val="en-US"/>
        </w:rPr>
        <w:t>"</w:t>
      </w:r>
      <w:r w:rsidRPr="00831397">
        <w:rPr>
          <w:i/>
          <w:lang w:val="en-US"/>
        </w:rPr>
        <w:t xml:space="preserve">The </w:t>
      </w:r>
      <w:r w:rsidRPr="00831397">
        <w:rPr>
          <w:b/>
          <w:i/>
          <w:lang w:val="en-US"/>
        </w:rPr>
        <w:t xml:space="preserve">precautionary principle </w:t>
      </w:r>
      <w:r w:rsidRPr="00831397">
        <w:rPr>
          <w:i/>
          <w:lang w:val="en-US"/>
        </w:rPr>
        <w:t>implies that for the group of developed countries reduction targets of 25-40% are needed in 2020 compared to 1990 and at least 80-95% in 2050 compared to 1990</w:t>
      </w:r>
      <w:r w:rsidRPr="00831397">
        <w:rPr>
          <w:lang w:val="en-US"/>
        </w:rPr>
        <w:t>"</w:t>
      </w:r>
      <w:r w:rsidRPr="00831397">
        <w:rPr>
          <w:i/>
          <w:lang w:val="en-US"/>
        </w:rPr>
        <w:t xml:space="preserve"> </w:t>
      </w:r>
      <w:r>
        <w:rPr>
          <w:sz w:val="20"/>
          <w:vertAlign w:val="superscript"/>
        </w:rPr>
        <w:footnoteReference w:id="50"/>
      </w:r>
      <w:r w:rsidRPr="00831397">
        <w:rPr>
          <w:lang w:val="en-US"/>
        </w:rPr>
        <w:t xml:space="preserve">(emphasis added). </w:t>
      </w:r>
    </w:p>
    <w:p w14:paraId="608AFA7D" w14:textId="77777777" w:rsidR="004A3CD3" w:rsidRPr="00831397" w:rsidRDefault="006C0598">
      <w:pPr>
        <w:spacing w:after="133"/>
        <w:ind w:left="1015" w:right="794"/>
        <w:rPr>
          <w:lang w:val="en-US"/>
        </w:rPr>
      </w:pPr>
      <w:r w:rsidRPr="00831397">
        <w:rPr>
          <w:lang w:val="en-US"/>
        </w:rPr>
        <w:t>In addition, the Flemish Environment Report ("Milieurapport") concluded in 2009 that the current traditional policy instruments are insufficient to initiate and accelerate the transition to a sustainable low-carbon economy</w:t>
      </w:r>
      <w:r>
        <w:rPr>
          <w:sz w:val="20"/>
          <w:vertAlign w:val="superscript"/>
        </w:rPr>
        <w:footnoteReference w:id="51"/>
      </w:r>
      <w:r w:rsidRPr="00831397">
        <w:rPr>
          <w:lang w:val="en-US"/>
        </w:rPr>
        <w:t xml:space="preserve">. </w:t>
      </w:r>
    </w:p>
    <w:p w14:paraId="4EB867EC" w14:textId="77777777" w:rsidR="004A3CD3" w:rsidRPr="00831397" w:rsidRDefault="006C0598">
      <w:pPr>
        <w:spacing w:line="248" w:lineRule="auto"/>
        <w:ind w:left="1040" w:right="791" w:hanging="10"/>
        <w:rPr>
          <w:lang w:val="en-US"/>
        </w:rPr>
      </w:pPr>
      <w:r w:rsidRPr="00831397">
        <w:rPr>
          <w:lang w:val="en-US"/>
        </w:rPr>
        <w:t>Finally, it should be noted that the Flemish Parliament already stated in 2009 that "</w:t>
      </w:r>
      <w:r w:rsidRPr="00831397">
        <w:rPr>
          <w:i/>
          <w:lang w:val="en-US"/>
        </w:rPr>
        <w:t xml:space="preserve">the total greenhouse gas reduction percentages put forward by Annex I countries are </w:t>
      </w:r>
      <w:r w:rsidRPr="00831397">
        <w:rPr>
          <w:b/>
          <w:i/>
          <w:lang w:val="en-US"/>
        </w:rPr>
        <w:t xml:space="preserve">insufficient to come </w:t>
      </w:r>
      <w:r w:rsidRPr="00831397">
        <w:rPr>
          <w:i/>
          <w:lang w:val="en-US"/>
        </w:rPr>
        <w:t>close to the 2°C objective</w:t>
      </w:r>
      <w:r w:rsidRPr="00831397">
        <w:rPr>
          <w:lang w:val="en-US"/>
        </w:rPr>
        <w:t xml:space="preserve">" </w:t>
      </w:r>
      <w:r>
        <w:rPr>
          <w:sz w:val="20"/>
          <w:vertAlign w:val="superscript"/>
        </w:rPr>
        <w:footnoteReference w:id="52"/>
      </w:r>
      <w:r w:rsidRPr="00831397">
        <w:rPr>
          <w:lang w:val="en-US"/>
        </w:rPr>
        <w:t xml:space="preserve">(emphasis added). </w:t>
      </w:r>
    </w:p>
    <w:p w14:paraId="1377B2C3" w14:textId="77777777" w:rsidR="004A3CD3" w:rsidRPr="00831397" w:rsidRDefault="006C0598">
      <w:pPr>
        <w:spacing w:after="311"/>
        <w:ind w:left="1015" w:right="794"/>
        <w:rPr>
          <w:lang w:val="en-US"/>
        </w:rPr>
      </w:pPr>
      <w:r w:rsidRPr="00831397">
        <w:rPr>
          <w:lang w:val="en-US"/>
        </w:rPr>
        <w:t xml:space="preserve">In Wallonia, the regional parliament adopted on 20 February 2014 a Climate Decree providing for a reduction target of 30% in 2020 and 80-95% in 2050, following a Climact study finalised on 30 December 2011 </w:t>
      </w:r>
      <w:r>
        <w:rPr>
          <w:sz w:val="20"/>
          <w:vertAlign w:val="superscript"/>
        </w:rPr>
        <w:footnoteReference w:id="53"/>
      </w:r>
      <w:r w:rsidRPr="00831397">
        <w:rPr>
          <w:lang w:val="en-US"/>
        </w:rPr>
        <w:t xml:space="preserve">. </w:t>
      </w:r>
    </w:p>
    <w:p w14:paraId="72119723" w14:textId="77777777" w:rsidR="004A3CD3" w:rsidRPr="00831397" w:rsidRDefault="006C0598">
      <w:pPr>
        <w:spacing w:after="243" w:line="250" w:lineRule="auto"/>
        <w:ind w:left="1025" w:right="787" w:hanging="562"/>
        <w:rPr>
          <w:lang w:val="en-US"/>
        </w:rPr>
      </w:pPr>
      <w:r>
        <w:rPr>
          <w:noProof/>
        </w:rPr>
        <w:drawing>
          <wp:inline distT="0" distB="0" distL="0" distR="0" wp14:anchorId="4598551D" wp14:editId="000613FA">
            <wp:extent cx="176022" cy="105918"/>
            <wp:effectExtent l="0" t="0" r="0" b="0"/>
            <wp:docPr id="5766" name="Picture 5766"/>
            <wp:cNvGraphicFramePr/>
            <a:graphic xmlns:a="http://schemas.openxmlformats.org/drawingml/2006/main">
              <a:graphicData uri="http://schemas.openxmlformats.org/drawingml/2006/picture">
                <pic:pic xmlns:pic="http://schemas.openxmlformats.org/drawingml/2006/picture">
                  <pic:nvPicPr>
                    <pic:cNvPr id="5766" name="Picture 5766"/>
                    <pic:cNvPicPr/>
                  </pic:nvPicPr>
                  <pic:blipFill>
                    <a:blip r:embed="rId27"/>
                    <a:stretch>
                      <a:fillRect/>
                    </a:stretch>
                  </pic:blipFill>
                  <pic:spPr>
                    <a:xfrm>
                      <a:off x="0" y="0"/>
                      <a:ext cx="176022" cy="105918"/>
                    </a:xfrm>
                    <a:prstGeom prst="rect">
                      <a:avLst/>
                    </a:prstGeom>
                  </pic:spPr>
                </pic:pic>
              </a:graphicData>
            </a:graphic>
          </wp:inline>
        </w:drawing>
      </w:r>
      <w:r w:rsidRPr="00831397">
        <w:rPr>
          <w:b/>
          <w:sz w:val="24"/>
          <w:u w:val="single" w:color="000000"/>
          <w:lang w:val="en-US"/>
        </w:rPr>
        <w:t xml:space="preserve"> The inadequacy and insufficiency of the norms of positive international law and </w:t>
      </w:r>
    </w:p>
    <w:p w14:paraId="27E011AD" w14:textId="77777777" w:rsidR="004A3CD3" w:rsidRDefault="006C0598">
      <w:pPr>
        <w:spacing w:after="243" w:line="250" w:lineRule="auto"/>
        <w:ind w:left="1025" w:right="787" w:hanging="562"/>
      </w:pPr>
      <w:r>
        <w:rPr>
          <w:b/>
          <w:sz w:val="24"/>
          <w:u w:val="single" w:color="000000"/>
        </w:rPr>
        <w:t xml:space="preserve">for 2020 </w:t>
      </w:r>
    </w:p>
    <w:p w14:paraId="5A12EC58" w14:textId="77777777" w:rsidR="004A3CD3" w:rsidRPr="00831397" w:rsidRDefault="006C0598">
      <w:pPr>
        <w:numPr>
          <w:ilvl w:val="0"/>
          <w:numId w:val="24"/>
        </w:numPr>
        <w:spacing w:after="264"/>
        <w:ind w:right="794" w:hanging="566"/>
        <w:rPr>
          <w:lang w:val="en-US"/>
        </w:rPr>
      </w:pPr>
      <w:r w:rsidRPr="00831397">
        <w:rPr>
          <w:lang w:val="en-US"/>
        </w:rPr>
        <w:t xml:space="preserve">We have just traced the path of the authorities' knowledge of the danger of global warming, but above all of the measures to be taken by the States Parties to the UNFCCC to prevent this danger from occurring. It is clear from the foregoing that Belgium, and therefore the </w:t>
      </w:r>
      <w:r w:rsidRPr="00831397">
        <w:rPr>
          <w:lang w:val="en-US"/>
        </w:rPr>
        <w:lastRenderedPageBreak/>
        <w:t xml:space="preserve">respondents, knew as early as 2007 precisely what they had to do to help avoid dangerous global warming. They </w:t>
      </w:r>
      <w:r w:rsidRPr="00831397">
        <w:rPr>
          <w:b/>
          <w:lang w:val="en-US"/>
        </w:rPr>
        <w:t xml:space="preserve">knew </w:t>
      </w:r>
      <w:r w:rsidRPr="00831397">
        <w:rPr>
          <w:lang w:val="en-US"/>
        </w:rPr>
        <w:t xml:space="preserve">that in order to avoid a warming of 2°C, the Annex I Parties, of which Belgium was a part, had to reduce their emissions by at least 25% to 40% by 2020, and 80 to 95% by 2050. They </w:t>
      </w:r>
      <w:r w:rsidRPr="00831397">
        <w:rPr>
          <w:b/>
          <w:lang w:val="en-US"/>
        </w:rPr>
        <w:t xml:space="preserve">knew </w:t>
      </w:r>
      <w:r w:rsidRPr="00831397">
        <w:rPr>
          <w:lang w:val="en-US"/>
        </w:rPr>
        <w:t xml:space="preserve">that in view of their historical responsibility and leadership in climate policy, their share of emission reductions was at the high end of the range and closer to 40% than to 25%. They </w:t>
      </w:r>
      <w:r w:rsidRPr="00831397">
        <w:rPr>
          <w:b/>
          <w:lang w:val="en-US"/>
        </w:rPr>
        <w:t xml:space="preserve">knew </w:t>
      </w:r>
      <w:r w:rsidRPr="00831397">
        <w:rPr>
          <w:lang w:val="en-US"/>
        </w:rPr>
        <w:t xml:space="preserve">that the assumption of a global emissions ceiling between 2000 and 2015, on which the percentages of emissions reductions were based, was contradicted by the facts, also pushing the effort towards 40%. Finally, they were necessarily </w:t>
      </w:r>
      <w:r w:rsidRPr="00831397">
        <w:rPr>
          <w:b/>
          <w:lang w:val="en-US"/>
        </w:rPr>
        <w:t xml:space="preserve">aware </w:t>
      </w:r>
      <w:r w:rsidRPr="00831397">
        <w:rPr>
          <w:lang w:val="en-US"/>
        </w:rPr>
        <w:t xml:space="preserve">that in order to move towards the 1.5°C threshold, the target of at least 25% to 40% was itself out of date, so that even more reductions were needed.  </w:t>
      </w:r>
    </w:p>
    <w:p w14:paraId="2301C549" w14:textId="77777777" w:rsidR="004A3CD3" w:rsidRPr="00831397" w:rsidRDefault="006C0598">
      <w:pPr>
        <w:numPr>
          <w:ilvl w:val="0"/>
          <w:numId w:val="24"/>
        </w:numPr>
        <w:spacing w:after="267"/>
        <w:ind w:right="794" w:hanging="566"/>
        <w:rPr>
          <w:lang w:val="en-US"/>
        </w:rPr>
      </w:pPr>
      <w:r w:rsidRPr="00831397">
        <w:rPr>
          <w:lang w:val="en-US"/>
        </w:rPr>
        <w:t xml:space="preserve">Any normally diligent authority under the same conditions - having therefore followed all the IPCC work and contributed to all the COP decisions - should have deduced that, in order to move towards the 1.5°C threshold to avoid dangerous warming, it had to move towards a 40% emissions reduction by 2020. Countries such as Germany, Denmark, the UK and Sweden, for example, strengthened their climate policies in the years after COP-15 (2009) in Copenhagen, adopting a 40% reduction in GHG emissions by 2020 as a cornerstone of that policy. </w:t>
      </w:r>
    </w:p>
    <w:p w14:paraId="15FA48C7" w14:textId="77777777" w:rsidR="004A3CD3" w:rsidRPr="00831397" w:rsidRDefault="006C0598">
      <w:pPr>
        <w:numPr>
          <w:ilvl w:val="0"/>
          <w:numId w:val="24"/>
        </w:numPr>
        <w:spacing w:line="248" w:lineRule="auto"/>
        <w:ind w:right="794" w:hanging="566"/>
        <w:rPr>
          <w:lang w:val="en-US"/>
        </w:rPr>
      </w:pPr>
      <w:r w:rsidRPr="00831397">
        <w:rPr>
          <w:lang w:val="en-US"/>
        </w:rPr>
        <w:t xml:space="preserve">The understanding of the facts of the case may be somewhat confused by the adoption of binding targets enshrined in Belgian positive law, namely on the one hand the targets resulting from the Kyoto Protocol, and on the other hand the targets imposed by the European Union.  </w:t>
      </w:r>
    </w:p>
    <w:p w14:paraId="3DC6CA2B" w14:textId="77777777" w:rsidR="004A3CD3" w:rsidRPr="00831397" w:rsidRDefault="006C0598">
      <w:pPr>
        <w:spacing w:line="248" w:lineRule="auto"/>
        <w:ind w:left="1040" w:right="791" w:hanging="10"/>
        <w:rPr>
          <w:lang w:val="en-US"/>
        </w:rPr>
      </w:pPr>
      <w:r w:rsidRPr="00831397">
        <w:rPr>
          <w:lang w:val="en-US"/>
        </w:rPr>
        <w:t xml:space="preserve">It should be noted from the outset that these binding targets are largely insufficient and simply do not prevent dangerous warming. They have the merit of existing, but they are not sufficient to define the standard of behaviour that is required of the authorities.  </w:t>
      </w:r>
    </w:p>
    <w:p w14:paraId="0E469F3A" w14:textId="77777777" w:rsidR="004A3CD3" w:rsidRPr="00831397" w:rsidRDefault="006C0598">
      <w:pPr>
        <w:spacing w:after="0" w:line="248" w:lineRule="auto"/>
        <w:ind w:left="1040" w:right="791" w:hanging="10"/>
        <w:rPr>
          <w:lang w:val="en-US"/>
        </w:rPr>
      </w:pPr>
      <w:r w:rsidRPr="00831397">
        <w:rPr>
          <w:lang w:val="en-US"/>
        </w:rPr>
        <w:t xml:space="preserve">The authors insist that </w:t>
      </w:r>
      <w:r w:rsidRPr="00831397">
        <w:rPr>
          <w:b/>
          <w:lang w:val="en-US"/>
        </w:rPr>
        <w:t>these binding objectives cannot constitute the reference for defining the standard of conduct imposed by Articles 2 and 8 ECHR and by Article 1382 of the Civil Code, since they do not make it possible to avoid dangerous warming</w:t>
      </w:r>
      <w:r w:rsidRPr="00831397">
        <w:rPr>
          <w:lang w:val="en-US"/>
        </w:rPr>
        <w:t xml:space="preserve">. The aim is to determine the conduct of an authority faced with the imminence of a serious danger threatening its population. It will be recalled, if necessary, that a normally diligent authority takes adequate and necessary measures. </w:t>
      </w:r>
    </w:p>
    <w:p w14:paraId="4657321C" w14:textId="77777777" w:rsidR="004A3CD3" w:rsidRPr="00831397" w:rsidRDefault="006C0598">
      <w:pPr>
        <w:spacing w:after="263" w:line="251" w:lineRule="auto"/>
        <w:ind w:left="1025" w:right="732" w:hanging="10"/>
        <w:jc w:val="left"/>
        <w:rPr>
          <w:lang w:val="en-US"/>
        </w:rPr>
      </w:pPr>
      <w:r w:rsidRPr="00831397">
        <w:rPr>
          <w:lang w:val="en-US"/>
        </w:rPr>
        <w:t xml:space="preserve">A normally diligent authority does not refrain from taking measures by taking refuge behind obligations cast in the form of norms of positive law in the full knowledge that these are not adequate to protect its population from the danger.  </w:t>
      </w:r>
    </w:p>
    <w:p w14:paraId="1A2A454D" w14:textId="77777777" w:rsidR="004A3CD3" w:rsidRPr="00831397" w:rsidRDefault="006C0598">
      <w:pPr>
        <w:numPr>
          <w:ilvl w:val="0"/>
          <w:numId w:val="24"/>
        </w:numPr>
        <w:spacing w:after="266"/>
        <w:ind w:right="794" w:hanging="566"/>
        <w:rPr>
          <w:lang w:val="en-US"/>
        </w:rPr>
      </w:pPr>
      <w:r w:rsidRPr="00831397">
        <w:rPr>
          <w:lang w:val="en-US"/>
        </w:rPr>
        <w:t xml:space="preserve">In this case, two norms of positive law must be cited. In the following lines, the Court will endeavour to clarify whether they are inadequate and insufficient to prevent dangerous global warming, and therefore irrelevant for the determination of the standard of conduct to be imposed on the Respondents.  </w:t>
      </w:r>
    </w:p>
    <w:p w14:paraId="62B14861" w14:textId="77777777" w:rsidR="004A3CD3" w:rsidRPr="00831397" w:rsidRDefault="006C0598">
      <w:pPr>
        <w:spacing w:after="262" w:line="249" w:lineRule="auto"/>
        <w:ind w:left="449" w:right="785" w:firstLine="0"/>
        <w:rPr>
          <w:lang w:val="en-US"/>
        </w:rPr>
      </w:pPr>
      <w:r w:rsidRPr="00831397">
        <w:rPr>
          <w:b/>
          <w:lang w:val="en-US"/>
        </w:rPr>
        <w:t xml:space="preserve">II.3.1 </w:t>
      </w:r>
      <w:r w:rsidRPr="00831397">
        <w:rPr>
          <w:b/>
          <w:u w:val="single" w:color="000000"/>
          <w:lang w:val="en-US"/>
        </w:rPr>
        <w:t xml:space="preserve">The objectives set by the European Union </w:t>
      </w:r>
    </w:p>
    <w:p w14:paraId="46328DED" w14:textId="77777777" w:rsidR="004A3CD3" w:rsidRPr="00831397" w:rsidRDefault="006C0598">
      <w:pPr>
        <w:numPr>
          <w:ilvl w:val="0"/>
          <w:numId w:val="24"/>
        </w:numPr>
        <w:ind w:right="794" w:hanging="566"/>
        <w:rPr>
          <w:lang w:val="en-US"/>
        </w:rPr>
      </w:pPr>
      <w:r w:rsidRPr="00831397">
        <w:rPr>
          <w:lang w:val="en-US"/>
        </w:rPr>
        <w:t xml:space="preserve">On the basis of political decisions dating back to 2007, on 23 April 2009 the European Union introduced a set of laws commonly referred to as the "Climate and Energy Package", with the objective of reducing GHG emissions by 20% by 2020 compared to 1990, or 14% compared to 2005, it being understood that the contribution of each member country will be determined taking into account its characteristics.  </w:t>
      </w:r>
    </w:p>
    <w:p w14:paraId="1C7B8B07" w14:textId="77777777" w:rsidR="004A3CD3" w:rsidRPr="00831397" w:rsidRDefault="006C0598">
      <w:pPr>
        <w:spacing w:after="267"/>
        <w:ind w:left="1015" w:right="794"/>
        <w:rPr>
          <w:lang w:val="en-US"/>
        </w:rPr>
      </w:pPr>
      <w:r w:rsidRPr="00831397">
        <w:rPr>
          <w:lang w:val="en-US"/>
        </w:rPr>
        <w:t xml:space="preserve">For Belgium, this has resulted in the following target: </w:t>
      </w:r>
      <w:r w:rsidRPr="00831397">
        <w:rPr>
          <w:b/>
          <w:lang w:val="en-US"/>
        </w:rPr>
        <w:t xml:space="preserve">21% reduction of </w:t>
      </w:r>
      <w:r w:rsidRPr="00831397">
        <w:rPr>
          <w:lang w:val="en-US"/>
        </w:rPr>
        <w:t xml:space="preserve">its GHG emissions compared to 2005, for 2020. </w:t>
      </w:r>
    </w:p>
    <w:p w14:paraId="4A913B6C" w14:textId="77777777" w:rsidR="004A3CD3" w:rsidRPr="00831397" w:rsidRDefault="006C0598">
      <w:pPr>
        <w:numPr>
          <w:ilvl w:val="0"/>
          <w:numId w:val="24"/>
        </w:numPr>
        <w:spacing w:after="256" w:line="248" w:lineRule="auto"/>
        <w:ind w:right="794" w:hanging="566"/>
        <w:rPr>
          <w:lang w:val="en-US"/>
        </w:rPr>
      </w:pPr>
      <w:r w:rsidRPr="00831397">
        <w:rPr>
          <w:lang w:val="en-US"/>
        </w:rPr>
        <w:lastRenderedPageBreak/>
        <w:t xml:space="preserve">Given the evidence of scientific knowledge and the international consensus that has formed around the range of at least 25% to 40% reduction, it is clear that the EU target of 20% for 2020 was </w:t>
      </w:r>
      <w:r w:rsidRPr="00831397">
        <w:rPr>
          <w:b/>
          <w:lang w:val="en-US"/>
        </w:rPr>
        <w:t xml:space="preserve">far from sufficient </w:t>
      </w:r>
      <w:r w:rsidRPr="00831397">
        <w:rPr>
          <w:lang w:val="en-US"/>
        </w:rPr>
        <w:t xml:space="preserve">to avoid dangerous warming.  </w:t>
      </w:r>
    </w:p>
    <w:p w14:paraId="40A17AB2" w14:textId="77777777" w:rsidR="004A3CD3" w:rsidRPr="00831397" w:rsidRDefault="006C0598">
      <w:pPr>
        <w:numPr>
          <w:ilvl w:val="0"/>
          <w:numId w:val="24"/>
        </w:numPr>
        <w:ind w:right="794" w:hanging="566"/>
        <w:rPr>
          <w:lang w:val="en-US"/>
        </w:rPr>
      </w:pPr>
      <w:r w:rsidRPr="00831397">
        <w:rPr>
          <w:lang w:val="en-US"/>
        </w:rPr>
        <w:t>A 2007 Communication from the European Commission</w:t>
      </w:r>
      <w:r>
        <w:rPr>
          <w:sz w:val="20"/>
          <w:vertAlign w:val="superscript"/>
        </w:rPr>
        <w:footnoteReference w:id="54"/>
      </w:r>
      <w:r w:rsidRPr="00831397">
        <w:rPr>
          <w:lang w:val="en-US"/>
        </w:rPr>
        <w:t>, which forms the basis of European legislation for 2020, has a telling title: "</w:t>
      </w:r>
      <w:r w:rsidRPr="00831397">
        <w:rPr>
          <w:i/>
          <w:lang w:val="en-US"/>
        </w:rPr>
        <w:t>Limiting Global Warming to 2 degrees Celsius. The road ahead to 2020 and beyond</w:t>
      </w:r>
      <w:r w:rsidRPr="00831397">
        <w:rPr>
          <w:lang w:val="en-US"/>
        </w:rPr>
        <w:t>". It invokes "</w:t>
      </w:r>
      <w:r w:rsidRPr="00831397">
        <w:rPr>
          <w:i/>
          <w:lang w:val="en-US"/>
        </w:rPr>
        <w:t>irrefutable scientific facts</w:t>
      </w:r>
      <w:r w:rsidRPr="00831397">
        <w:rPr>
          <w:lang w:val="en-US"/>
        </w:rPr>
        <w:t>"</w:t>
      </w:r>
      <w:r>
        <w:rPr>
          <w:sz w:val="20"/>
          <w:vertAlign w:val="superscript"/>
        </w:rPr>
        <w:footnoteReference w:id="55"/>
      </w:r>
      <w:r w:rsidRPr="00831397">
        <w:rPr>
          <w:lang w:val="en-US"/>
        </w:rPr>
        <w:t xml:space="preserve">.  </w:t>
      </w:r>
    </w:p>
    <w:p w14:paraId="0DECDE0D" w14:textId="77777777" w:rsidR="004A3CD3" w:rsidRPr="00831397" w:rsidRDefault="006C0598">
      <w:pPr>
        <w:ind w:left="1015" w:right="794"/>
        <w:rPr>
          <w:lang w:val="en-US"/>
        </w:rPr>
      </w:pPr>
      <w:r w:rsidRPr="00831397">
        <w:rPr>
          <w:lang w:val="en-US"/>
        </w:rPr>
        <w:t xml:space="preserve">It is therefore interesting to read in the same Communication the following:  </w:t>
      </w:r>
    </w:p>
    <w:p w14:paraId="530F54F7" w14:textId="77777777" w:rsidR="004A3CD3" w:rsidRPr="00831397" w:rsidRDefault="006C0598">
      <w:pPr>
        <w:ind w:left="1591" w:right="792" w:hanging="10"/>
        <w:rPr>
          <w:lang w:val="en-US"/>
        </w:rPr>
      </w:pPr>
      <w:r w:rsidRPr="00831397">
        <w:rPr>
          <w:i/>
          <w:lang w:val="en-US"/>
        </w:rPr>
        <w:t xml:space="preserve">"This Communication proposes that the EU should set a target in the international negotiations to reduce greenhouse gas (GHG) emissions from developed countries by </w:t>
      </w:r>
      <w:r w:rsidRPr="00831397">
        <w:rPr>
          <w:b/>
          <w:i/>
          <w:lang w:val="en-US"/>
        </w:rPr>
        <w:t>30% (compared to 1990 levels) by 2020</w:t>
      </w:r>
      <w:r w:rsidRPr="00831397">
        <w:rPr>
          <w:i/>
          <w:lang w:val="en-US"/>
        </w:rPr>
        <w:t xml:space="preserve">. This effort is </w:t>
      </w:r>
      <w:r w:rsidRPr="00831397">
        <w:rPr>
          <w:b/>
          <w:i/>
          <w:lang w:val="en-US"/>
        </w:rPr>
        <w:t>necessary to limit the increase in global temperatures to 2 degrees Celsius</w:t>
      </w:r>
      <w:r w:rsidRPr="00831397">
        <w:rPr>
          <w:lang w:val="en-US"/>
        </w:rPr>
        <w:t>"</w:t>
      </w:r>
      <w:r w:rsidRPr="00831397">
        <w:rPr>
          <w:i/>
          <w:lang w:val="en-US"/>
        </w:rPr>
        <w:t xml:space="preserve"> </w:t>
      </w:r>
      <w:r>
        <w:rPr>
          <w:sz w:val="20"/>
          <w:vertAlign w:val="superscript"/>
        </w:rPr>
        <w:footnoteReference w:id="56"/>
      </w:r>
      <w:r w:rsidRPr="00831397">
        <w:rPr>
          <w:lang w:val="en-US"/>
        </w:rPr>
        <w:t xml:space="preserve">(emphasis added).  </w:t>
      </w:r>
    </w:p>
    <w:p w14:paraId="0E3B6312" w14:textId="77777777" w:rsidR="004A3CD3" w:rsidRDefault="006C0598">
      <w:pPr>
        <w:spacing w:after="266" w:line="248" w:lineRule="auto"/>
        <w:ind w:left="1040" w:right="791" w:hanging="10"/>
      </w:pPr>
      <w:r w:rsidRPr="00831397">
        <w:rPr>
          <w:lang w:val="en-US"/>
        </w:rPr>
        <w:t xml:space="preserve">Indeed, while it is estimated that the EU should reduce its GHG emissions to -30% below 1990 levels in order to limit the rise in global temperatures to 2°C, the objective adopted was, as we have explained above, to reduce emissions by 20% by 2020. </w:t>
      </w:r>
      <w:r>
        <w:t xml:space="preserve">An insufficient target according to the European Commission itself. </w:t>
      </w:r>
    </w:p>
    <w:p w14:paraId="17546D21" w14:textId="77777777" w:rsidR="004A3CD3" w:rsidRPr="00831397" w:rsidRDefault="006C0598">
      <w:pPr>
        <w:numPr>
          <w:ilvl w:val="0"/>
          <w:numId w:val="24"/>
        </w:numPr>
        <w:ind w:right="794" w:hanging="566"/>
        <w:rPr>
          <w:lang w:val="en-US"/>
        </w:rPr>
      </w:pPr>
      <w:r w:rsidRPr="00831397">
        <w:rPr>
          <w:lang w:val="en-US"/>
        </w:rPr>
        <w:t xml:space="preserve">Furthermore, in the wake of the Bali COP, the European Parliament also clearly stated in a resolution of 31 January 2008 that : </w:t>
      </w:r>
    </w:p>
    <w:p w14:paraId="1CEB3853" w14:textId="77777777" w:rsidR="004A3CD3" w:rsidRPr="00831397" w:rsidRDefault="006C0598">
      <w:pPr>
        <w:ind w:left="1591" w:right="792" w:hanging="10"/>
        <w:rPr>
          <w:lang w:val="en-US"/>
        </w:rPr>
      </w:pPr>
      <w:r w:rsidRPr="00831397">
        <w:rPr>
          <w:i/>
          <w:lang w:val="en-US"/>
        </w:rPr>
        <w:t xml:space="preserve">"Parliament welcomes the decision by the parties at the Bali Conference to launch a formal negotiation process to reach an international climate agreement for the period after 2012. (...) However, MEPs welcome the fact that the </w:t>
      </w:r>
      <w:r w:rsidRPr="00831397">
        <w:rPr>
          <w:b/>
          <w:i/>
          <w:lang w:val="en-US"/>
        </w:rPr>
        <w:t xml:space="preserve">parties to </w:t>
      </w:r>
      <w:r w:rsidRPr="00831397">
        <w:rPr>
          <w:i/>
          <w:lang w:val="en-US"/>
        </w:rPr>
        <w:t xml:space="preserve">the Kyoto Protocol </w:t>
      </w:r>
      <w:r w:rsidRPr="00831397">
        <w:rPr>
          <w:b/>
          <w:i/>
          <w:lang w:val="en-US"/>
        </w:rPr>
        <w:t xml:space="preserve">recognise the need </w:t>
      </w:r>
      <w:r w:rsidRPr="00831397">
        <w:rPr>
          <w:i/>
          <w:lang w:val="en-US"/>
        </w:rPr>
        <w:t xml:space="preserve">for </w:t>
      </w:r>
      <w:r w:rsidRPr="00831397">
        <w:rPr>
          <w:b/>
          <w:i/>
          <w:lang w:val="en-US"/>
        </w:rPr>
        <w:t>industrialised countries to reduce emissions by 25-40% by 2020 (compared to 1990 levels</w:t>
      </w:r>
      <w:r w:rsidRPr="00831397">
        <w:rPr>
          <w:i/>
          <w:lang w:val="en-US"/>
        </w:rPr>
        <w:t>)</w:t>
      </w:r>
      <w:r w:rsidRPr="00831397">
        <w:rPr>
          <w:lang w:val="en-US"/>
        </w:rPr>
        <w:t>"</w:t>
      </w:r>
      <w:r w:rsidRPr="00831397">
        <w:rPr>
          <w:i/>
          <w:lang w:val="en-US"/>
        </w:rPr>
        <w:t xml:space="preserve"> </w:t>
      </w:r>
      <w:r>
        <w:rPr>
          <w:vertAlign w:val="superscript"/>
        </w:rPr>
        <w:footnoteReference w:id="57"/>
      </w:r>
      <w:r w:rsidRPr="00831397">
        <w:rPr>
          <w:lang w:val="en-US"/>
        </w:rPr>
        <w:t xml:space="preserve">(emphasis added). </w:t>
      </w:r>
    </w:p>
    <w:p w14:paraId="06DC7783" w14:textId="77777777" w:rsidR="004A3CD3" w:rsidRPr="00831397" w:rsidRDefault="006C0598">
      <w:pPr>
        <w:spacing w:after="144"/>
        <w:ind w:left="1015" w:right="794"/>
        <w:rPr>
          <w:lang w:val="en-US"/>
        </w:rPr>
      </w:pPr>
      <w:r w:rsidRPr="00831397">
        <w:rPr>
          <w:lang w:val="en-US"/>
        </w:rPr>
        <w:t xml:space="preserve">The inadequacy of the 20% target has in fact been explicitly recognised by the European institutions: </w:t>
      </w:r>
    </w:p>
    <w:p w14:paraId="52E18846" w14:textId="77777777" w:rsidR="004A3CD3" w:rsidRPr="00831397" w:rsidRDefault="006C0598">
      <w:pPr>
        <w:numPr>
          <w:ilvl w:val="1"/>
          <w:numId w:val="24"/>
        </w:numPr>
        <w:spacing w:after="7"/>
        <w:ind w:right="794" w:hanging="360"/>
        <w:rPr>
          <w:lang w:val="en-US"/>
        </w:rPr>
      </w:pPr>
      <w:r w:rsidRPr="00831397">
        <w:rPr>
          <w:lang w:val="en-US"/>
        </w:rPr>
        <w:t xml:space="preserve">A 28 January 2010 letter from the European Union to the UNFCCC Executive Secretary states that, in light of the IPCC findings, developed countries should reduce their GHG emissions by </w:t>
      </w:r>
      <w:r w:rsidRPr="00831397">
        <w:rPr>
          <w:b/>
          <w:lang w:val="en-US"/>
        </w:rPr>
        <w:t xml:space="preserve">25-40% by 2020 compared to </w:t>
      </w:r>
      <w:r w:rsidRPr="00831397">
        <w:rPr>
          <w:lang w:val="en-US"/>
        </w:rPr>
        <w:t xml:space="preserve">1990 levels to meet the 2°C warming </w:t>
      </w:r>
      <w:r>
        <w:rPr>
          <w:sz w:val="20"/>
          <w:vertAlign w:val="superscript"/>
        </w:rPr>
        <w:footnoteReference w:id="58"/>
      </w:r>
      <w:r w:rsidRPr="00831397">
        <w:rPr>
          <w:lang w:val="en-US"/>
        </w:rPr>
        <w:t xml:space="preserve">limit.  </w:t>
      </w:r>
    </w:p>
    <w:p w14:paraId="3135BB4C" w14:textId="77777777" w:rsidR="00E933CB" w:rsidRPr="00831397" w:rsidRDefault="00825B93">
      <w:pPr>
        <w:spacing w:after="12" w:line="259" w:lineRule="auto"/>
        <w:ind w:left="1184" w:right="0" w:firstLine="0"/>
        <w:jc w:val="left"/>
        <w:rPr>
          <w:lang w:val="en-US"/>
        </w:rPr>
      </w:pPr>
      <w:r w:rsidRPr="00831397">
        <w:rPr>
          <w:lang w:val="en-US"/>
        </w:rPr>
        <w:t xml:space="preserve"> </w:t>
      </w:r>
    </w:p>
    <w:p w14:paraId="755F3297" w14:textId="77777777" w:rsidR="004A3CD3" w:rsidRDefault="006C0598">
      <w:pPr>
        <w:numPr>
          <w:ilvl w:val="1"/>
          <w:numId w:val="24"/>
        </w:numPr>
        <w:spacing w:after="0"/>
        <w:ind w:right="794" w:hanging="360"/>
      </w:pPr>
      <w:r w:rsidRPr="00831397">
        <w:rPr>
          <w:lang w:val="en-US"/>
        </w:rPr>
        <w:t xml:space="preserve">Like the European Commission in 2010, the European Council also concluded as early as 2009 that the EU's 20% target for 2020 was far from sufficient on scientific grounds and would have to be significantly revised to avoid 2°C warming. This is reflected in the preamble to Directive 2009/29/EC, which amends the ETS Directive 2003/87/EC. </w:t>
      </w:r>
      <w:r>
        <w:t xml:space="preserve">This preamble considers, among other things, the following: </w:t>
      </w:r>
    </w:p>
    <w:p w14:paraId="6024BED8" w14:textId="77777777" w:rsidR="004A3CD3" w:rsidRPr="00831397" w:rsidRDefault="006C0598">
      <w:pPr>
        <w:spacing w:after="0"/>
        <w:ind w:left="2317" w:right="792" w:hanging="10"/>
        <w:rPr>
          <w:lang w:val="en-US"/>
        </w:rPr>
      </w:pPr>
      <w:r w:rsidRPr="00831397">
        <w:rPr>
          <w:i/>
          <w:lang w:val="en-US"/>
        </w:rPr>
        <w:t xml:space="preserve">"(6) In order to increase the degree of certainty and predictability of the Community scheme, it is appropriate to make provisions to enhance the contribution of the Community scheme to the achievement of an overall </w:t>
      </w:r>
      <w:r w:rsidRPr="00831397">
        <w:rPr>
          <w:i/>
          <w:lang w:val="en-US"/>
        </w:rPr>
        <w:lastRenderedPageBreak/>
        <w:t xml:space="preserve">reduction of </w:t>
      </w:r>
      <w:r w:rsidRPr="00831397">
        <w:rPr>
          <w:b/>
          <w:i/>
          <w:lang w:val="en-US"/>
        </w:rPr>
        <w:t xml:space="preserve">more than 20%, </w:t>
      </w:r>
      <w:r w:rsidRPr="00831397">
        <w:rPr>
          <w:i/>
          <w:lang w:val="en-US"/>
        </w:rPr>
        <w:t xml:space="preserve">in particular in view of the </w:t>
      </w:r>
      <w:r w:rsidRPr="00831397">
        <w:rPr>
          <w:b/>
          <w:i/>
          <w:lang w:val="en-US"/>
        </w:rPr>
        <w:t xml:space="preserve">30% </w:t>
      </w:r>
      <w:r w:rsidRPr="00831397">
        <w:rPr>
          <w:i/>
          <w:lang w:val="en-US"/>
        </w:rPr>
        <w:t xml:space="preserve">target </w:t>
      </w:r>
      <w:r w:rsidRPr="00831397">
        <w:rPr>
          <w:b/>
          <w:i/>
          <w:lang w:val="en-US"/>
        </w:rPr>
        <w:t xml:space="preserve">by 2020 </w:t>
      </w:r>
      <w:r w:rsidRPr="00831397">
        <w:rPr>
          <w:i/>
          <w:lang w:val="en-US"/>
        </w:rPr>
        <w:t>set by the European Council, this being the level considered scientifically necessary to avoid dangerous climate change</w:t>
      </w:r>
      <w:r w:rsidRPr="00831397">
        <w:rPr>
          <w:lang w:val="en-US"/>
        </w:rPr>
        <w:t xml:space="preserve">. </w:t>
      </w:r>
    </w:p>
    <w:p w14:paraId="7CBA4533" w14:textId="77777777" w:rsidR="00E933CB" w:rsidRPr="00831397" w:rsidRDefault="00825B93">
      <w:pPr>
        <w:spacing w:after="12" w:line="259" w:lineRule="auto"/>
        <w:ind w:left="2307" w:right="0" w:firstLine="0"/>
        <w:jc w:val="left"/>
        <w:rPr>
          <w:lang w:val="en-US"/>
        </w:rPr>
      </w:pPr>
      <w:r w:rsidRPr="00831397">
        <w:rPr>
          <w:lang w:val="en-US"/>
        </w:rPr>
        <w:t xml:space="preserve"> </w:t>
      </w:r>
    </w:p>
    <w:p w14:paraId="10FDA27A" w14:textId="77777777" w:rsidR="004A3CD3" w:rsidRPr="00831397" w:rsidRDefault="006C0598">
      <w:pPr>
        <w:numPr>
          <w:ilvl w:val="1"/>
          <w:numId w:val="24"/>
        </w:numPr>
        <w:ind w:right="794" w:hanging="360"/>
        <w:rPr>
          <w:lang w:val="en-US"/>
        </w:rPr>
      </w:pPr>
      <w:r w:rsidRPr="00831397">
        <w:rPr>
          <w:lang w:val="en-US"/>
        </w:rPr>
        <w:t xml:space="preserve">With these positions, the European Commission and the European Council are aligning themselves with an opinion of the European Economic and Social Committee (EESC) of 3 February 2009 addressed to them. The EESC had also concluded that the EU's 20% target for 2020 was not adequate in view of what the 196 UNFCCC Parties had decided in the 2007 Bali Action Plan: </w:t>
      </w:r>
    </w:p>
    <w:p w14:paraId="6D4ED9FD" w14:textId="77777777" w:rsidR="004A3CD3" w:rsidRPr="00831397" w:rsidRDefault="006C0598">
      <w:pPr>
        <w:ind w:left="2317" w:right="792" w:hanging="10"/>
        <w:rPr>
          <w:lang w:val="en-US"/>
        </w:rPr>
      </w:pPr>
      <w:r w:rsidRPr="00831397">
        <w:rPr>
          <w:i/>
          <w:lang w:val="en-US"/>
        </w:rPr>
        <w:t xml:space="preserve">"In this context, it should be noted that </w:t>
      </w:r>
      <w:r w:rsidRPr="00831397">
        <w:rPr>
          <w:b/>
          <w:i/>
          <w:lang w:val="en-US"/>
        </w:rPr>
        <w:t xml:space="preserve">the EU's target of a </w:t>
      </w:r>
      <w:r w:rsidRPr="00831397">
        <w:rPr>
          <w:i/>
          <w:lang w:val="en-US"/>
        </w:rPr>
        <w:t xml:space="preserve">20% reduction in greenhouse gas emissions by 2020 compared to 1990 levels (...) </w:t>
      </w:r>
      <w:r w:rsidRPr="00831397">
        <w:rPr>
          <w:b/>
          <w:i/>
          <w:lang w:val="en-US"/>
        </w:rPr>
        <w:t xml:space="preserve">is aimed at a lower level than the 25-40% reduction </w:t>
      </w:r>
      <w:r w:rsidRPr="00831397">
        <w:rPr>
          <w:i/>
          <w:lang w:val="en-US"/>
        </w:rPr>
        <w:t xml:space="preserve">for industrialised countries that the EU called for at the Bali climate conference in December 2007 (...) The EESC concludes that, in view of the growing evidence of climate change, </w:t>
      </w:r>
      <w:r w:rsidRPr="00831397">
        <w:rPr>
          <w:b/>
          <w:i/>
          <w:lang w:val="en-US"/>
        </w:rPr>
        <w:t>the targets should be adjusted to achieve deeper cuts in greenhouse gas emissions</w:t>
      </w:r>
      <w:r>
        <w:rPr>
          <w:sz w:val="20"/>
          <w:vertAlign w:val="superscript"/>
        </w:rPr>
        <w:footnoteReference w:id="59"/>
      </w:r>
      <w:r w:rsidRPr="00831397">
        <w:rPr>
          <w:lang w:val="en-US"/>
        </w:rPr>
        <w:t xml:space="preserve">. </w:t>
      </w:r>
    </w:p>
    <w:p w14:paraId="050DBD8B" w14:textId="77777777" w:rsidR="004A3CD3" w:rsidRPr="00831397" w:rsidRDefault="006C0598">
      <w:pPr>
        <w:spacing w:after="260"/>
        <w:ind w:left="1015" w:right="794"/>
        <w:rPr>
          <w:lang w:val="en-US"/>
        </w:rPr>
      </w:pPr>
      <w:r w:rsidRPr="00831397">
        <w:rPr>
          <w:lang w:val="en-US"/>
        </w:rPr>
        <w:t xml:space="preserve">However, the 20% target for 2020 has never been adjusted. </w:t>
      </w:r>
    </w:p>
    <w:p w14:paraId="7B2D3012" w14:textId="77777777" w:rsidR="004A3CD3" w:rsidRPr="00831397" w:rsidRDefault="006C0598">
      <w:pPr>
        <w:numPr>
          <w:ilvl w:val="0"/>
          <w:numId w:val="24"/>
        </w:numPr>
        <w:ind w:right="794" w:hanging="566"/>
        <w:rPr>
          <w:lang w:val="en-US"/>
        </w:rPr>
      </w:pPr>
      <w:r w:rsidRPr="00831397">
        <w:rPr>
          <w:lang w:val="en-US"/>
        </w:rPr>
        <w:t xml:space="preserve">In conclusion, it is clear that European climate policies for 2020 are insufficient to avoid dangerous warming, which was determined at the time to be 2°C, not 1.5°C. </w:t>
      </w:r>
    </w:p>
    <w:p w14:paraId="0F9A13AF" w14:textId="77777777" w:rsidR="004A3CD3" w:rsidRPr="00831397" w:rsidRDefault="006C0598">
      <w:pPr>
        <w:numPr>
          <w:ilvl w:val="0"/>
          <w:numId w:val="24"/>
        </w:numPr>
        <w:spacing w:after="267"/>
        <w:ind w:right="794" w:hanging="566"/>
        <w:rPr>
          <w:lang w:val="en-US"/>
        </w:rPr>
      </w:pPr>
      <w:r w:rsidRPr="00831397">
        <w:rPr>
          <w:lang w:val="en-US"/>
        </w:rPr>
        <w:t xml:space="preserve">Another observation, in addition to the first, is that the European institutions know that their policies are insufficient and do not hesitate to communicate this in official documents. </w:t>
      </w:r>
    </w:p>
    <w:p w14:paraId="24F1DED7" w14:textId="77777777" w:rsidR="004A3CD3" w:rsidRPr="00831397" w:rsidRDefault="006C0598">
      <w:pPr>
        <w:numPr>
          <w:ilvl w:val="0"/>
          <w:numId w:val="24"/>
        </w:numPr>
        <w:spacing w:after="230" w:line="248" w:lineRule="auto"/>
        <w:ind w:right="794" w:hanging="566"/>
        <w:rPr>
          <w:lang w:val="en-US"/>
        </w:rPr>
      </w:pPr>
      <w:r w:rsidRPr="00831397">
        <w:rPr>
          <w:lang w:val="en-US"/>
        </w:rPr>
        <w:t xml:space="preserve">In view of the above, it must be concluded that the reduction target imposed on Belgium by the European Union for 2020 is not a relevant reference for defining the standard of behaviour which is binding on Belgium under Articles 2 and 8 of the ECHR and Article 1382 of the Civil Code.  </w:t>
      </w:r>
    </w:p>
    <w:p w14:paraId="6DFEB5C5" w14:textId="77777777" w:rsidR="004A3CD3" w:rsidRPr="00831397" w:rsidRDefault="006C0598">
      <w:pPr>
        <w:spacing w:after="266" w:line="248" w:lineRule="auto"/>
        <w:ind w:left="1040" w:right="791" w:hanging="10"/>
        <w:rPr>
          <w:lang w:val="en-US"/>
        </w:rPr>
      </w:pPr>
      <w:r w:rsidRPr="00831397">
        <w:rPr>
          <w:lang w:val="en-US"/>
        </w:rPr>
        <w:t xml:space="preserve">While it is not disputed that this is a binding objective to which Belgium has committed itself, this is not such as to impede the analysis of the conduct of the Belgian authorities in the light of their knowledge of the danger and the measures to be taken to avoid it. Indeed, the Belgian authorities' conduct in taking refuge behind the European objectives, which they knew to be largely inadequate in the light of their knowledge of the measures to be taken to avoid dangerous warming, is incompatible with the standard of conduct imposed both by Articles 2 and 8 of the ECHR and by Article 1382 of the Civil Code.  </w:t>
      </w:r>
    </w:p>
    <w:p w14:paraId="5F903456" w14:textId="77777777" w:rsidR="004A3CD3" w:rsidRPr="00831397" w:rsidRDefault="006C0598">
      <w:pPr>
        <w:spacing w:after="262" w:line="249" w:lineRule="auto"/>
        <w:ind w:left="449" w:right="785" w:firstLine="0"/>
        <w:rPr>
          <w:lang w:val="en-US"/>
        </w:rPr>
      </w:pPr>
      <w:r w:rsidRPr="00831397">
        <w:rPr>
          <w:b/>
          <w:lang w:val="en-US"/>
        </w:rPr>
        <w:t xml:space="preserve">II.3.2 </w:t>
      </w:r>
      <w:r w:rsidRPr="00831397">
        <w:rPr>
          <w:b/>
          <w:u w:val="single" w:color="000000"/>
          <w:lang w:val="en-US"/>
        </w:rPr>
        <w:t xml:space="preserve">The 1997 Kyoto Protocol, as amended by the 2012 Doha Amendment </w:t>
      </w:r>
    </w:p>
    <w:p w14:paraId="3A34A521" w14:textId="77777777" w:rsidR="004A3CD3" w:rsidRPr="00831397" w:rsidRDefault="006C0598">
      <w:pPr>
        <w:numPr>
          <w:ilvl w:val="0"/>
          <w:numId w:val="24"/>
        </w:numPr>
        <w:spacing w:line="248" w:lineRule="auto"/>
        <w:ind w:right="794" w:hanging="566"/>
        <w:rPr>
          <w:lang w:val="en-US"/>
        </w:rPr>
      </w:pPr>
      <w:r w:rsidRPr="00831397">
        <w:rPr>
          <w:lang w:val="en-US"/>
        </w:rPr>
        <w:t xml:space="preserve">Article 3 of the Kyoto Protocol states that:  </w:t>
      </w:r>
    </w:p>
    <w:p w14:paraId="10AFAD52" w14:textId="77777777" w:rsidR="004A3CD3" w:rsidRPr="00831397" w:rsidRDefault="006C0598">
      <w:pPr>
        <w:spacing w:line="248" w:lineRule="auto"/>
        <w:ind w:left="1591" w:right="791" w:hanging="10"/>
        <w:rPr>
          <w:lang w:val="en-US"/>
        </w:rPr>
      </w:pPr>
      <w:r w:rsidRPr="00831397">
        <w:rPr>
          <w:i/>
          <w:lang w:val="en-US"/>
        </w:rPr>
        <w:t xml:space="preserve">"The Parties included in Annex I shall, individually or jointly, ensure that their aggregate anthropogenic emissions (...) do not exceed their assigned amounts, calculated pursuant to their quantified emission limitation and reduction commitments inscribed in Annex B."  </w:t>
      </w:r>
    </w:p>
    <w:p w14:paraId="3E98DD75" w14:textId="77777777" w:rsidR="004A3CD3" w:rsidRPr="00831397" w:rsidRDefault="006C0598">
      <w:pPr>
        <w:ind w:left="1015" w:right="794"/>
        <w:rPr>
          <w:lang w:val="en-US"/>
        </w:rPr>
      </w:pPr>
      <w:r w:rsidRPr="00831397">
        <w:rPr>
          <w:lang w:val="en-US"/>
        </w:rPr>
        <w:t xml:space="preserve">The Doha Amendment amended Annex B of the Kyoto Protocol. In its amended version, it sets a GHG emission reduction target for Belgium of </w:t>
      </w:r>
      <w:r w:rsidRPr="00831397">
        <w:rPr>
          <w:b/>
          <w:lang w:val="en-US"/>
        </w:rPr>
        <w:t xml:space="preserve">20% below </w:t>
      </w:r>
      <w:r w:rsidRPr="00831397">
        <w:rPr>
          <w:lang w:val="en-US"/>
        </w:rPr>
        <w:t xml:space="preserve">1990 levels by 2020.  </w:t>
      </w:r>
    </w:p>
    <w:p w14:paraId="0974B3F7" w14:textId="77777777" w:rsidR="004A3CD3" w:rsidRPr="00831397" w:rsidRDefault="006C0598">
      <w:pPr>
        <w:spacing w:after="264"/>
        <w:ind w:left="1015" w:right="794"/>
        <w:rPr>
          <w:lang w:val="en-US"/>
        </w:rPr>
      </w:pPr>
      <w:r w:rsidRPr="00831397">
        <w:rPr>
          <w:lang w:val="en-US"/>
        </w:rPr>
        <w:t xml:space="preserve">Again, in view of the scientific knowledge and the international consensus that formed as early as 2007 around the 25-40% reduction range, it is clear that the 20% target for 2020 was largely insufficient to avoid dangerous warming.  </w:t>
      </w:r>
    </w:p>
    <w:p w14:paraId="5D28B1C4" w14:textId="77777777" w:rsidR="004A3CD3" w:rsidRPr="00831397" w:rsidRDefault="006C0598">
      <w:pPr>
        <w:numPr>
          <w:ilvl w:val="0"/>
          <w:numId w:val="24"/>
        </w:numPr>
        <w:spacing w:after="267"/>
        <w:ind w:right="794" w:hanging="566"/>
        <w:rPr>
          <w:lang w:val="en-US"/>
        </w:rPr>
      </w:pPr>
      <w:r w:rsidRPr="00831397">
        <w:rPr>
          <w:lang w:val="en-US"/>
        </w:rPr>
        <w:lastRenderedPageBreak/>
        <w:t xml:space="preserve">Moreover, it should be recalled that the Kyoto Protocol (1997) was concluded at a time when the 2°C threshold was not yet formally the subject of an international consensus, although reference had already been made, notably by the European Commission, to the 2°C threshold to avoid dangerous warming as early as 1996. The 1997 reduction targets were set without any reference to the 2°C threshold not to be exceeded.  The wording of Article 3 of the Kyoto Protocol must therefore be read in the light of the context in which it was drafted. The political consensus on the effort needed to avoid dangerous global warming - a consensus based on the IPCC reports - has become much clearer since then. </w:t>
      </w:r>
    </w:p>
    <w:p w14:paraId="7D389E64" w14:textId="77777777" w:rsidR="004A3CD3" w:rsidRPr="00831397" w:rsidRDefault="006C0598">
      <w:pPr>
        <w:numPr>
          <w:ilvl w:val="0"/>
          <w:numId w:val="24"/>
        </w:numPr>
        <w:spacing w:line="248" w:lineRule="auto"/>
        <w:ind w:right="794" w:hanging="566"/>
        <w:rPr>
          <w:lang w:val="en-US"/>
        </w:rPr>
      </w:pPr>
      <w:r w:rsidRPr="00831397">
        <w:rPr>
          <w:lang w:val="en-US"/>
        </w:rPr>
        <w:t xml:space="preserve">The amendment to the Kyoto Protocol was adopted at the end of the 2012 COP in Doha. It should be remembered that the reduction target of at least 25-40% for Annex I countries had been repeated successively from COP to COP, year after year, since 2007. The Doha amendment was therefore clearly an outdated target even before it came into force. It is all the more interesting to note that the Doha amendment entered into force on 31 December 2020. The amendment imposed a 20% reduction target for the 2013-2020 commitment period. It therefore entered into force </w:t>
      </w:r>
      <w:r w:rsidRPr="00831397">
        <w:rPr>
          <w:b/>
          <w:lang w:val="en-US"/>
        </w:rPr>
        <w:t>on the day it expired</w:t>
      </w:r>
      <w:r w:rsidRPr="00831397">
        <w:rPr>
          <w:lang w:val="en-US"/>
        </w:rPr>
        <w:t xml:space="preserve">: a stillbirth. </w:t>
      </w:r>
    </w:p>
    <w:p w14:paraId="00215BA4" w14:textId="77777777" w:rsidR="004A3CD3" w:rsidRPr="00831397" w:rsidRDefault="006C0598">
      <w:pPr>
        <w:numPr>
          <w:ilvl w:val="0"/>
          <w:numId w:val="24"/>
        </w:numPr>
        <w:spacing w:after="7"/>
        <w:ind w:right="794" w:hanging="566"/>
        <w:rPr>
          <w:lang w:val="en-US"/>
        </w:rPr>
      </w:pPr>
      <w:r w:rsidRPr="00831397">
        <w:rPr>
          <w:lang w:val="en-US"/>
        </w:rPr>
        <w:t xml:space="preserve">In view of the above, it must be concluded that the reduction target imposed on Belgium by the Doha Amendment is not a relevant reference for defining the standard of conduct imposed on the respondents by both Articles 2 and 8 of the ECHR and by Article 1382 of the Civil Code.  </w:t>
      </w:r>
    </w:p>
    <w:p w14:paraId="1AC5590E" w14:textId="77777777" w:rsidR="00E933CB" w:rsidRPr="00831397" w:rsidRDefault="00825B93">
      <w:pPr>
        <w:spacing w:after="0" w:line="259" w:lineRule="auto"/>
        <w:ind w:left="464" w:right="0" w:firstLine="0"/>
        <w:jc w:val="left"/>
        <w:rPr>
          <w:lang w:val="en-US"/>
        </w:rPr>
      </w:pPr>
      <w:r w:rsidRPr="00831397">
        <w:rPr>
          <w:lang w:val="en-US"/>
        </w:rPr>
        <w:t xml:space="preserve"> </w:t>
      </w:r>
      <w:r w:rsidRPr="00831397">
        <w:rPr>
          <w:lang w:val="en-US"/>
        </w:rPr>
        <w:tab/>
        <w:t xml:space="preserve"> </w:t>
      </w:r>
      <w:r w:rsidRPr="00831397">
        <w:rPr>
          <w:lang w:val="en-US"/>
        </w:rPr>
        <w:br w:type="page"/>
      </w:r>
    </w:p>
    <w:p w14:paraId="1FF62397" w14:textId="77777777" w:rsidR="004A3CD3" w:rsidRPr="00831397" w:rsidRDefault="006C0598">
      <w:pPr>
        <w:tabs>
          <w:tab w:val="center" w:pos="3563"/>
        </w:tabs>
        <w:spacing w:after="226" w:line="249" w:lineRule="auto"/>
        <w:ind w:left="0" w:right="0" w:firstLine="0"/>
        <w:jc w:val="left"/>
        <w:rPr>
          <w:lang w:val="en-US"/>
        </w:rPr>
      </w:pPr>
      <w:r w:rsidRPr="00831397">
        <w:rPr>
          <w:b/>
          <w:sz w:val="28"/>
          <w:lang w:val="en-US"/>
        </w:rPr>
        <w:lastRenderedPageBreak/>
        <w:t xml:space="preserve">III. </w:t>
      </w:r>
      <w:r w:rsidRPr="00831397">
        <w:rPr>
          <w:rFonts w:ascii="Arial" w:eastAsia="Arial" w:hAnsi="Arial" w:cs="Arial"/>
          <w:b/>
          <w:sz w:val="28"/>
          <w:lang w:val="en-US"/>
        </w:rPr>
        <w:tab/>
      </w:r>
      <w:r w:rsidRPr="00831397">
        <w:rPr>
          <w:b/>
          <w:sz w:val="28"/>
          <w:u w:val="single" w:color="000000"/>
          <w:lang w:val="en-US"/>
        </w:rPr>
        <w:t xml:space="preserve">Statement of Basic Facts: Part II </w:t>
      </w:r>
    </w:p>
    <w:p w14:paraId="40C00DE1" w14:textId="77777777" w:rsidR="004A3CD3" w:rsidRPr="00831397" w:rsidRDefault="006C0598">
      <w:pPr>
        <w:spacing w:after="203" w:line="249" w:lineRule="auto"/>
        <w:ind w:left="1040" w:right="0" w:hanging="10"/>
        <w:jc w:val="left"/>
        <w:rPr>
          <w:lang w:val="en-US"/>
        </w:rPr>
      </w:pPr>
      <w:r w:rsidRPr="00831397">
        <w:rPr>
          <w:b/>
          <w:sz w:val="28"/>
          <w:u w:val="single" w:color="000000"/>
          <w:lang w:val="en-US"/>
        </w:rPr>
        <w:t xml:space="preserve">On the importance of a minimally linear pathway for GHG reductions </w:t>
      </w:r>
    </w:p>
    <w:p w14:paraId="22E14928" w14:textId="77777777" w:rsidR="004A3CD3" w:rsidRPr="00831397" w:rsidRDefault="006C0598">
      <w:pPr>
        <w:spacing w:after="68"/>
        <w:ind w:left="1030" w:right="794" w:hanging="566"/>
        <w:rPr>
          <w:lang w:val="en-US"/>
        </w:rPr>
      </w:pPr>
      <w:r w:rsidRPr="00831397">
        <w:rPr>
          <w:lang w:val="en-US"/>
        </w:rPr>
        <w:t>70. In its judgment of 26 June 2015 in the Urgenda case, the Court of First Instance in The Hague addresses the link between the GHG emissions reduction trajectory towards a given target over 2050, on the one hand, and the volume of GHG emissions produced in pursuit of that target, on the other</w:t>
      </w:r>
      <w:r>
        <w:rPr>
          <w:sz w:val="20"/>
          <w:vertAlign w:val="superscript"/>
        </w:rPr>
        <w:footnoteReference w:id="60"/>
      </w:r>
      <w:r w:rsidRPr="00831397">
        <w:rPr>
          <w:lang w:val="en-US"/>
        </w:rPr>
        <w:t xml:space="preserve">. In time, the judgment is before the Paris Agreement. The objective for 2050 is a reduction in GHG emissions of 80-95%, as put forward by the IPCC since 2007. The judgement uses the following diagram presented by Urgenda: </w:t>
      </w:r>
    </w:p>
    <w:p w14:paraId="37C043E5" w14:textId="77777777" w:rsidR="00E933CB" w:rsidRPr="00831397" w:rsidRDefault="00825B93">
      <w:pPr>
        <w:spacing w:after="21" w:line="259" w:lineRule="auto"/>
        <w:ind w:left="0" w:right="1940" w:firstLine="0"/>
        <w:jc w:val="right"/>
        <w:rPr>
          <w:lang w:val="en-US"/>
        </w:rPr>
      </w:pPr>
      <w:r>
        <w:rPr>
          <w:noProof/>
        </w:rPr>
        <w:drawing>
          <wp:inline distT="0" distB="0" distL="0" distR="0" wp14:anchorId="04391A84" wp14:editId="1DBAF261">
            <wp:extent cx="4286250" cy="3123311"/>
            <wp:effectExtent l="0" t="0" r="0" b="0"/>
            <wp:docPr id="6754" name="Picture 6754"/>
            <wp:cNvGraphicFramePr/>
            <a:graphic xmlns:a="http://schemas.openxmlformats.org/drawingml/2006/main">
              <a:graphicData uri="http://schemas.openxmlformats.org/drawingml/2006/picture">
                <pic:pic xmlns:pic="http://schemas.openxmlformats.org/drawingml/2006/picture">
                  <pic:nvPicPr>
                    <pic:cNvPr id="6754" name="Picture 6754"/>
                    <pic:cNvPicPr/>
                  </pic:nvPicPr>
                  <pic:blipFill>
                    <a:blip r:embed="rId28"/>
                    <a:stretch>
                      <a:fillRect/>
                    </a:stretch>
                  </pic:blipFill>
                  <pic:spPr>
                    <a:xfrm>
                      <a:off x="0" y="0"/>
                      <a:ext cx="4286250" cy="3123311"/>
                    </a:xfrm>
                    <a:prstGeom prst="rect">
                      <a:avLst/>
                    </a:prstGeom>
                  </pic:spPr>
                </pic:pic>
              </a:graphicData>
            </a:graphic>
          </wp:inline>
        </w:drawing>
      </w:r>
      <w:r w:rsidRPr="00831397">
        <w:rPr>
          <w:lang w:val="en-US"/>
        </w:rPr>
        <w:t xml:space="preserve"> </w:t>
      </w:r>
    </w:p>
    <w:p w14:paraId="65F98327" w14:textId="77777777" w:rsidR="004A3CD3" w:rsidRPr="00831397" w:rsidRDefault="006C0598">
      <w:pPr>
        <w:pStyle w:val="Heading2"/>
        <w:spacing w:after="208"/>
        <w:ind w:left="1025" w:right="0"/>
        <w:rPr>
          <w:lang w:val="en-US"/>
        </w:rPr>
      </w:pPr>
      <w:bookmarkStart w:id="11" w:name="_Toc179578"/>
      <w:r w:rsidRPr="00831397">
        <w:rPr>
          <w:i/>
          <w:lang w:val="en-US"/>
        </w:rPr>
        <w:t xml:space="preserve">Diagram 11. </w:t>
      </w:r>
      <w:r w:rsidRPr="00831397">
        <w:rPr>
          <w:lang w:val="en-US"/>
        </w:rPr>
        <w:t xml:space="preserve">Scheme used in the judgment of 26 June 2015 in the Urgenda case </w:t>
      </w:r>
      <w:bookmarkEnd w:id="11"/>
    </w:p>
    <w:p w14:paraId="30295CA4" w14:textId="77777777" w:rsidR="004A3CD3" w:rsidRPr="00831397" w:rsidRDefault="006C0598">
      <w:pPr>
        <w:ind w:left="1015" w:right="794"/>
        <w:rPr>
          <w:lang w:val="en-US"/>
        </w:rPr>
      </w:pPr>
      <w:r w:rsidRPr="00831397">
        <w:rPr>
          <w:lang w:val="en-US"/>
        </w:rPr>
        <w:t xml:space="preserve">The red area below the </w:t>
      </w:r>
      <w:r w:rsidRPr="00831397">
        <w:rPr>
          <w:b/>
          <w:lang w:val="en-US"/>
        </w:rPr>
        <w:t xml:space="preserve">concave </w:t>
      </w:r>
      <w:r w:rsidRPr="00831397">
        <w:rPr>
          <w:lang w:val="en-US"/>
        </w:rPr>
        <w:t xml:space="preserve">line connecting point A to point B indicates the total volume of GHG emissions assuming a concave GHG emissions reduction pathway is followed to achieve the 2050 target.  </w:t>
      </w:r>
    </w:p>
    <w:p w14:paraId="3DD3C184" w14:textId="77777777" w:rsidR="004A3CD3" w:rsidRPr="00831397" w:rsidRDefault="006C0598">
      <w:pPr>
        <w:ind w:left="1015" w:right="794"/>
        <w:rPr>
          <w:lang w:val="en-US"/>
        </w:rPr>
      </w:pPr>
      <w:r w:rsidRPr="00831397">
        <w:rPr>
          <w:lang w:val="en-US"/>
        </w:rPr>
        <w:t xml:space="preserve">The red and blue areas below the </w:t>
      </w:r>
      <w:r w:rsidRPr="00831397">
        <w:rPr>
          <w:b/>
          <w:lang w:val="en-US"/>
        </w:rPr>
        <w:t xml:space="preserve">straight </w:t>
      </w:r>
      <w:r w:rsidRPr="00831397">
        <w:rPr>
          <w:lang w:val="en-US"/>
        </w:rPr>
        <w:t xml:space="preserve">line that connects point A to point B show the total volume of GHG emissions under the assumption that a linear GHG emissions reduction pathway is followed to reach the same target over 2050. The total volume of emissions is higher here than in the previous scenario because the volume of emissions in blue is added to the volume of emissions in red. </w:t>
      </w:r>
    </w:p>
    <w:p w14:paraId="7FB3B8CB" w14:textId="77777777" w:rsidR="004A3CD3" w:rsidRPr="00831397" w:rsidRDefault="006C0598">
      <w:pPr>
        <w:spacing w:after="233"/>
        <w:ind w:left="1015" w:right="794"/>
        <w:rPr>
          <w:lang w:val="en-US"/>
        </w:rPr>
      </w:pPr>
      <w:r w:rsidRPr="00831397">
        <w:rPr>
          <w:lang w:val="en-US"/>
        </w:rPr>
        <w:t xml:space="preserve">The sum of the red, blue and grey areas indicates the total volume of GHG emissions under the assumption that a </w:t>
      </w:r>
      <w:r w:rsidRPr="00831397">
        <w:rPr>
          <w:b/>
          <w:lang w:val="en-US"/>
        </w:rPr>
        <w:t xml:space="preserve">deferred </w:t>
      </w:r>
      <w:r w:rsidRPr="00831397">
        <w:rPr>
          <w:lang w:val="en-US"/>
        </w:rPr>
        <w:t xml:space="preserve">GHG emissions reduction pathway is followed until 2030, and then accelerated to reach the 2050 target. The total volume of emissions is significantly higher than in the two previous assumptions. Indeed, to the red and blue emission volumes, the grey emission volume is added. </w:t>
      </w:r>
    </w:p>
    <w:p w14:paraId="2CC54DC4" w14:textId="77777777" w:rsidR="004A3CD3" w:rsidRPr="00831397" w:rsidRDefault="006C0598">
      <w:pPr>
        <w:spacing w:line="248" w:lineRule="auto"/>
        <w:ind w:left="1040" w:right="791" w:hanging="10"/>
        <w:rPr>
          <w:lang w:val="en-US"/>
        </w:rPr>
      </w:pPr>
      <w:r w:rsidRPr="00831397">
        <w:rPr>
          <w:lang w:val="en-US"/>
        </w:rPr>
        <w:t xml:space="preserve">The Tribunal's considerations in relation to this scheme are twofold. First, they refer to the impact of the reduction path followed on the total volume of emissions. Second, they point to the impact of the path followed on the chances of achieving the objective pursued.   </w:t>
      </w:r>
    </w:p>
    <w:p w14:paraId="28452229" w14:textId="77777777" w:rsidR="004A3CD3" w:rsidRPr="00831397" w:rsidRDefault="006C0598">
      <w:pPr>
        <w:spacing w:after="279"/>
        <w:ind w:left="1591" w:right="792" w:hanging="10"/>
        <w:rPr>
          <w:lang w:val="en-US"/>
        </w:rPr>
      </w:pPr>
      <w:r w:rsidRPr="00831397">
        <w:rPr>
          <w:i/>
          <w:lang w:val="en-US"/>
        </w:rPr>
        <w:lastRenderedPageBreak/>
        <w:t xml:space="preserve">"According to Urgenda, the first diagram (...) shows that a </w:t>
      </w:r>
      <w:r w:rsidRPr="00831397">
        <w:rPr>
          <w:b/>
          <w:i/>
          <w:lang w:val="en-US"/>
        </w:rPr>
        <w:t xml:space="preserve">deferred reduction pathway </w:t>
      </w:r>
      <w:r w:rsidRPr="00831397">
        <w:rPr>
          <w:i/>
          <w:lang w:val="en-US"/>
        </w:rPr>
        <w:t xml:space="preserve">results in </w:t>
      </w:r>
      <w:r w:rsidRPr="00831397">
        <w:rPr>
          <w:b/>
          <w:i/>
          <w:lang w:val="en-US"/>
        </w:rPr>
        <w:t xml:space="preserve">higher emissions </w:t>
      </w:r>
      <w:r w:rsidRPr="00831397">
        <w:rPr>
          <w:i/>
          <w:lang w:val="en-US"/>
        </w:rPr>
        <w:t xml:space="preserve">than choosing an equal distribution of reduction effort over the entire period to 2050 or a linear approach. It argues that the diagram also shows that </w:t>
      </w:r>
      <w:r w:rsidRPr="00831397">
        <w:rPr>
          <w:b/>
          <w:i/>
          <w:lang w:val="en-US"/>
        </w:rPr>
        <w:t xml:space="preserve">deferring reductions </w:t>
      </w:r>
      <w:r w:rsidRPr="00831397">
        <w:rPr>
          <w:i/>
          <w:lang w:val="en-US"/>
        </w:rPr>
        <w:t xml:space="preserve">(reducing less until 2030 and more from that year onwards) results in higher emissions overall and therefore increases the likelihood of exceeding the remaining 'budget'. Urgenda also argues that it is </w:t>
      </w:r>
      <w:r w:rsidRPr="00831397">
        <w:rPr>
          <w:b/>
          <w:i/>
          <w:lang w:val="en-US"/>
        </w:rPr>
        <w:t>more cost-effective to act now</w:t>
      </w:r>
      <w:r w:rsidRPr="00831397">
        <w:rPr>
          <w:i/>
          <w:lang w:val="en-US"/>
        </w:rPr>
        <w:t xml:space="preserve">. This is based on the IPCC's Fifth Report, which states that scenarios in which deep cuts are postponed to the period between 2030 and 2050 lead to a greater reliance on CO </w:t>
      </w:r>
      <w:r w:rsidRPr="00831397">
        <w:rPr>
          <w:i/>
          <w:vertAlign w:val="subscript"/>
          <w:lang w:val="en-US"/>
        </w:rPr>
        <w:t>2</w:t>
      </w:r>
      <w:r w:rsidRPr="00831397">
        <w:rPr>
          <w:i/>
          <w:lang w:val="en-US"/>
        </w:rPr>
        <w:t>However, according to the same report, these technologies are not yet sufficiently developed to be able to contribute substantially to the reduction</w:t>
      </w:r>
      <w:r>
        <w:rPr>
          <w:i/>
          <w:sz w:val="20"/>
          <w:vertAlign w:val="superscript"/>
        </w:rPr>
        <w:footnoteReference w:id="61"/>
      </w:r>
      <w:r w:rsidRPr="00831397">
        <w:rPr>
          <w:i/>
          <w:lang w:val="en-US"/>
        </w:rPr>
        <w:t xml:space="preserve">. </w:t>
      </w:r>
    </w:p>
    <w:p w14:paraId="7F3C3D15" w14:textId="77777777" w:rsidR="004A3CD3" w:rsidRPr="00831397" w:rsidRDefault="006C0598">
      <w:pPr>
        <w:spacing w:line="248" w:lineRule="auto"/>
        <w:ind w:left="1015" w:right="791" w:hanging="566"/>
        <w:rPr>
          <w:lang w:val="en-US"/>
        </w:rPr>
      </w:pPr>
      <w:r w:rsidRPr="00831397">
        <w:rPr>
          <w:lang w:val="en-US"/>
        </w:rPr>
        <w:t xml:space="preserve">71. We shall return to the importance of the GHG emission reduction trajectory adopted to achieve the objective. We will apply this to the current Belgian situation.  </w:t>
      </w:r>
    </w:p>
    <w:p w14:paraId="450045B1" w14:textId="77777777" w:rsidR="004A3CD3" w:rsidRPr="00831397" w:rsidRDefault="006C0598">
      <w:pPr>
        <w:ind w:left="1015" w:right="794"/>
        <w:rPr>
          <w:lang w:val="en-US"/>
        </w:rPr>
      </w:pPr>
      <w:r w:rsidRPr="00831397">
        <w:rPr>
          <w:lang w:val="en-US"/>
        </w:rPr>
        <w:t xml:space="preserve">The main thing at this stage is to understand that </w:t>
      </w:r>
      <w:r w:rsidRPr="00831397">
        <w:rPr>
          <w:b/>
          <w:lang w:val="en-US"/>
        </w:rPr>
        <w:t xml:space="preserve">the reduction trajectory </w:t>
      </w:r>
      <w:r w:rsidRPr="00831397">
        <w:rPr>
          <w:lang w:val="en-US"/>
        </w:rPr>
        <w:t xml:space="preserve">followed towards a reduction target is </w:t>
      </w:r>
      <w:r w:rsidRPr="00831397">
        <w:rPr>
          <w:b/>
          <w:lang w:val="en-US"/>
        </w:rPr>
        <w:t>not a neutral data</w:t>
      </w:r>
      <w:r w:rsidRPr="00831397">
        <w:rPr>
          <w:lang w:val="en-US"/>
        </w:rPr>
        <w:t xml:space="preserve">. The choice of trajectory can guarantee the respect of a certain available </w:t>
      </w:r>
      <w:r w:rsidRPr="00831397">
        <w:rPr>
          <w:b/>
          <w:lang w:val="en-US"/>
        </w:rPr>
        <w:t xml:space="preserve">emissions budget </w:t>
      </w:r>
      <w:r w:rsidRPr="00831397">
        <w:rPr>
          <w:lang w:val="en-US"/>
        </w:rPr>
        <w:t xml:space="preserve">or, on the contrary, ensure that it is not respected. It can also, from a socio-economic point of view, give more </w:t>
      </w:r>
      <w:r w:rsidRPr="00831397">
        <w:rPr>
          <w:b/>
          <w:lang w:val="en-US"/>
        </w:rPr>
        <w:t xml:space="preserve">chances to reach the target </w:t>
      </w:r>
      <w:r w:rsidRPr="00831397">
        <w:rPr>
          <w:lang w:val="en-US"/>
        </w:rPr>
        <w:t xml:space="preserve">or, on the contrary, decrease these chances. </w:t>
      </w:r>
    </w:p>
    <w:p w14:paraId="367E62E8" w14:textId="77777777" w:rsidR="004A3CD3" w:rsidRPr="00831397" w:rsidRDefault="006C0598">
      <w:pPr>
        <w:ind w:left="1015" w:right="794"/>
        <w:rPr>
          <w:lang w:val="en-US"/>
        </w:rPr>
      </w:pPr>
      <w:r w:rsidRPr="00831397">
        <w:rPr>
          <w:lang w:val="en-US"/>
        </w:rPr>
        <w:t xml:space="preserve">It should also be noted that the convex reduction pathway is the one that consumes the most GHG budget and leads to severe reduction efforts at the end of the journey.  </w:t>
      </w:r>
    </w:p>
    <w:p w14:paraId="29A51C53" w14:textId="77777777" w:rsidR="00E933CB" w:rsidRPr="00831397" w:rsidRDefault="00825B93">
      <w:pPr>
        <w:spacing w:after="0" w:line="259" w:lineRule="auto"/>
        <w:ind w:left="464" w:right="0" w:firstLine="0"/>
        <w:jc w:val="left"/>
        <w:rPr>
          <w:lang w:val="en-US"/>
        </w:rPr>
      </w:pPr>
      <w:r w:rsidRPr="00831397">
        <w:rPr>
          <w:lang w:val="en-US"/>
        </w:rPr>
        <w:t xml:space="preserve"> </w:t>
      </w:r>
      <w:r w:rsidRPr="00831397">
        <w:rPr>
          <w:lang w:val="en-US"/>
        </w:rPr>
        <w:tab/>
        <w:t xml:space="preserve"> </w:t>
      </w:r>
    </w:p>
    <w:p w14:paraId="3E3C5EEA" w14:textId="77777777" w:rsidR="004A3CD3" w:rsidRPr="00831397" w:rsidRDefault="006C0598">
      <w:pPr>
        <w:numPr>
          <w:ilvl w:val="0"/>
          <w:numId w:val="25"/>
        </w:numPr>
        <w:spacing w:after="226" w:line="249" w:lineRule="auto"/>
        <w:ind w:left="1060" w:right="0" w:hanging="881"/>
        <w:jc w:val="left"/>
        <w:rPr>
          <w:lang w:val="en-US"/>
        </w:rPr>
      </w:pPr>
      <w:r w:rsidRPr="00831397">
        <w:rPr>
          <w:b/>
          <w:sz w:val="28"/>
          <w:u w:val="single" w:color="000000"/>
          <w:lang w:val="en-US"/>
        </w:rPr>
        <w:t xml:space="preserve">Statement of Basic Facts: Part III </w:t>
      </w:r>
    </w:p>
    <w:p w14:paraId="2D120AC7" w14:textId="77777777" w:rsidR="004A3CD3" w:rsidRPr="00831397" w:rsidRDefault="006C0598">
      <w:pPr>
        <w:spacing w:after="203" w:line="249" w:lineRule="auto"/>
        <w:ind w:left="1040" w:right="0" w:hanging="10"/>
        <w:jc w:val="left"/>
        <w:rPr>
          <w:lang w:val="en-US"/>
        </w:rPr>
      </w:pPr>
      <w:r w:rsidRPr="00831397">
        <w:rPr>
          <w:b/>
          <w:sz w:val="28"/>
          <w:u w:val="single" w:color="000000"/>
          <w:lang w:val="en-US"/>
        </w:rPr>
        <w:t xml:space="preserve">As for the climate emergency and the need to rule as quickly as possible on this case </w:t>
      </w:r>
    </w:p>
    <w:p w14:paraId="283450FB" w14:textId="77777777" w:rsidR="004A3CD3" w:rsidRPr="00831397" w:rsidRDefault="006C0598">
      <w:pPr>
        <w:numPr>
          <w:ilvl w:val="1"/>
          <w:numId w:val="25"/>
        </w:numPr>
        <w:spacing w:after="235" w:line="248" w:lineRule="auto"/>
        <w:ind w:right="791" w:hanging="566"/>
        <w:rPr>
          <w:lang w:val="en-US"/>
        </w:rPr>
      </w:pPr>
      <w:r w:rsidRPr="00831397">
        <w:rPr>
          <w:lang w:val="en-US"/>
        </w:rPr>
        <w:t>Since the 2015 Paris Agreement, the scientific and internationally recognized consensus enshrined in the Agreement explicitly states that to avoid dangerous warming, the target must be "</w:t>
      </w:r>
      <w:r w:rsidRPr="00831397">
        <w:rPr>
          <w:b/>
          <w:lang w:val="en-US"/>
        </w:rPr>
        <w:t>well below 2°C</w:t>
      </w:r>
      <w:r w:rsidRPr="00831397">
        <w:rPr>
          <w:lang w:val="en-US"/>
        </w:rPr>
        <w:t xml:space="preserve">" and move </w:t>
      </w:r>
      <w:r w:rsidRPr="00831397">
        <w:rPr>
          <w:b/>
          <w:lang w:val="en-US"/>
        </w:rPr>
        <w:t>towards 1.5°C</w:t>
      </w:r>
      <w:r w:rsidRPr="00831397">
        <w:rPr>
          <w:lang w:val="en-US"/>
        </w:rPr>
        <w:t xml:space="preserve">.  </w:t>
      </w:r>
    </w:p>
    <w:p w14:paraId="7A137B1B" w14:textId="77777777" w:rsidR="004A3CD3" w:rsidRDefault="006C0598">
      <w:pPr>
        <w:spacing w:after="267"/>
        <w:ind w:left="1015" w:right="794"/>
      </w:pPr>
      <w:r w:rsidRPr="00831397">
        <w:rPr>
          <w:lang w:val="en-US"/>
        </w:rPr>
        <w:t xml:space="preserve">According to </w:t>
      </w:r>
      <w:r w:rsidRPr="00831397">
        <w:rPr>
          <w:b/>
          <w:lang w:val="en-US"/>
        </w:rPr>
        <w:t xml:space="preserve">the AR6.I </w:t>
      </w:r>
      <w:r w:rsidRPr="00831397">
        <w:rPr>
          <w:lang w:val="en-US"/>
        </w:rPr>
        <w:t xml:space="preserve">of August 2021 a global residual carbon budget </w:t>
      </w:r>
      <w:r w:rsidRPr="00831397">
        <w:rPr>
          <w:b/>
          <w:lang w:val="en-US"/>
        </w:rPr>
        <w:t>at 500 GtCO</w:t>
      </w:r>
      <w:r w:rsidRPr="00831397">
        <w:rPr>
          <w:b/>
          <w:vertAlign w:val="subscript"/>
          <w:lang w:val="en-US"/>
        </w:rPr>
        <w:t>2</w:t>
      </w:r>
      <w:r w:rsidRPr="00831397">
        <w:rPr>
          <w:lang w:val="en-US"/>
        </w:rPr>
        <w:t xml:space="preserve"> gives a </w:t>
      </w:r>
      <w:r w:rsidRPr="00831397">
        <w:rPr>
          <w:b/>
          <w:lang w:val="en-US"/>
        </w:rPr>
        <w:t xml:space="preserve">one in two chance </w:t>
      </w:r>
      <w:r w:rsidRPr="00831397">
        <w:rPr>
          <w:lang w:val="en-US"/>
        </w:rPr>
        <w:t xml:space="preserve">(50% chance of success) of meeting the dangerous warming limit. To have </w:t>
      </w:r>
      <w:r w:rsidRPr="00831397">
        <w:rPr>
          <w:b/>
          <w:lang w:val="en-US"/>
        </w:rPr>
        <w:t xml:space="preserve">two chances out of three </w:t>
      </w:r>
      <w:r w:rsidRPr="00831397">
        <w:rPr>
          <w:lang w:val="en-US"/>
        </w:rPr>
        <w:t xml:space="preserve">to respect this limit (67% chance of success), the global residual carbon budget has </w:t>
      </w:r>
      <w:r w:rsidRPr="00831397">
        <w:rPr>
          <w:b/>
          <w:lang w:val="en-US"/>
        </w:rPr>
        <w:t>400 GtCO</w:t>
      </w:r>
      <w:r w:rsidRPr="00831397">
        <w:rPr>
          <w:b/>
          <w:vertAlign w:val="subscript"/>
          <w:lang w:val="en-US"/>
        </w:rPr>
        <w:t>2</w:t>
      </w:r>
      <w:r w:rsidRPr="00831397">
        <w:rPr>
          <w:lang w:val="en-US"/>
        </w:rPr>
        <w:t xml:space="preserve"> .   However, to date, GHG emissions have still not reached their ceiling ('</w:t>
      </w:r>
      <w:r w:rsidRPr="00831397">
        <w:rPr>
          <w:i/>
          <w:lang w:val="en-US"/>
        </w:rPr>
        <w:t>peaking')</w:t>
      </w:r>
      <w:r w:rsidRPr="00831397">
        <w:rPr>
          <w:lang w:val="en-US"/>
        </w:rPr>
        <w:t xml:space="preserve">. On the contrary, they continue to increase year after year. </w:t>
      </w:r>
      <w:r>
        <w:rPr>
          <w:sz w:val="20"/>
          <w:vertAlign w:val="superscript"/>
        </w:rPr>
        <w:footnoteReference w:id="62"/>
      </w:r>
      <w:r w:rsidRPr="00831397">
        <w:rPr>
          <w:lang w:val="en-US"/>
        </w:rPr>
        <w:t xml:space="preserve"> CO emissions are </w:t>
      </w:r>
      <w:r w:rsidRPr="00831397">
        <w:rPr>
          <w:vertAlign w:val="subscript"/>
          <w:lang w:val="en-US"/>
        </w:rPr>
        <w:t>2</w:t>
      </w:r>
      <w:r w:rsidRPr="00831397">
        <w:rPr>
          <w:lang w:val="en-US"/>
        </w:rPr>
        <w:t>currently around 40GtCO</w:t>
      </w:r>
      <w:r w:rsidRPr="00831397">
        <w:rPr>
          <w:vertAlign w:val="subscript"/>
          <w:lang w:val="en-US"/>
        </w:rPr>
        <w:t xml:space="preserve">2 </w:t>
      </w:r>
      <w:r w:rsidRPr="00831397">
        <w:rPr>
          <w:lang w:val="en-US"/>
        </w:rPr>
        <w:t xml:space="preserve"> per year</w:t>
      </w:r>
      <w:r>
        <w:rPr>
          <w:sz w:val="20"/>
          <w:vertAlign w:val="superscript"/>
        </w:rPr>
        <w:footnoteReference w:id="63"/>
      </w:r>
      <w:r w:rsidRPr="00831397">
        <w:rPr>
          <w:lang w:val="en-US"/>
        </w:rPr>
        <w:t xml:space="preserve">. At this rate, we have a decade or even a dozen years </w:t>
      </w:r>
      <w:r w:rsidRPr="00831397">
        <w:rPr>
          <w:lang w:val="en-US"/>
        </w:rPr>
        <w:lastRenderedPageBreak/>
        <w:t xml:space="preserve">left to do what is necessary. It is therefore a </w:t>
      </w:r>
      <w:r w:rsidRPr="00831397">
        <w:rPr>
          <w:b/>
          <w:lang w:val="en-US"/>
        </w:rPr>
        <w:t>global emergency</w:t>
      </w:r>
      <w:r w:rsidRPr="00831397">
        <w:rPr>
          <w:lang w:val="en-US"/>
        </w:rPr>
        <w:t xml:space="preserve">. It is </w:t>
      </w:r>
      <w:r w:rsidRPr="00831397">
        <w:rPr>
          <w:b/>
          <w:lang w:val="en-US"/>
        </w:rPr>
        <w:t>also urgent for this country</w:t>
      </w:r>
      <w:r w:rsidRPr="00831397">
        <w:rPr>
          <w:lang w:val="en-US"/>
        </w:rPr>
        <w:t xml:space="preserve">. The global residual carbon budget is a common good for humanity and all life on the planet. No country has the right to monopolize it too much, developed countries and Annex II countries much less than others. Belgium is such a country. The global emergency </w:t>
      </w:r>
      <w:r w:rsidRPr="00831397">
        <w:rPr>
          <w:b/>
          <w:lang w:val="en-US"/>
        </w:rPr>
        <w:t>brings with it an emergency at the level of the countries</w:t>
      </w:r>
      <w:r w:rsidRPr="00831397">
        <w:rPr>
          <w:lang w:val="en-US"/>
        </w:rPr>
        <w:t xml:space="preserve">, </w:t>
      </w:r>
      <w:r w:rsidRPr="00831397">
        <w:rPr>
          <w:b/>
          <w:lang w:val="en-US"/>
        </w:rPr>
        <w:t>particularly the developed countries</w:t>
      </w:r>
      <w:r w:rsidRPr="00831397">
        <w:rPr>
          <w:lang w:val="en-US"/>
        </w:rPr>
        <w:t xml:space="preserve">. In order to meet our share of the budget, an urgent effort on the part of the respondents is required. </w:t>
      </w:r>
      <w:r>
        <w:t xml:space="preserve">We will detail this later.  </w:t>
      </w:r>
    </w:p>
    <w:p w14:paraId="5866B76A" w14:textId="77777777" w:rsidR="004A3CD3" w:rsidRPr="00831397" w:rsidRDefault="006C0598">
      <w:pPr>
        <w:numPr>
          <w:ilvl w:val="1"/>
          <w:numId w:val="25"/>
        </w:numPr>
        <w:spacing w:after="290" w:line="248" w:lineRule="auto"/>
        <w:ind w:right="791" w:hanging="566"/>
        <w:rPr>
          <w:lang w:val="en-US"/>
        </w:rPr>
      </w:pPr>
      <w:r w:rsidRPr="00831397">
        <w:rPr>
          <w:lang w:val="en-US"/>
        </w:rPr>
        <w:t>Global warming that is not significantly below 2°C is a major danger for all of humanity, without exception. Everyone will be affected in some way by the effects of such warming. The first part of the AR6 is again unequivocal on this point</w:t>
      </w:r>
      <w:r>
        <w:rPr>
          <w:sz w:val="20"/>
          <w:vertAlign w:val="superscript"/>
        </w:rPr>
        <w:footnoteReference w:id="64"/>
      </w:r>
      <w:r w:rsidRPr="00831397">
        <w:rPr>
          <w:lang w:val="en-US"/>
        </w:rPr>
        <w:t xml:space="preserve">.  </w:t>
      </w:r>
    </w:p>
    <w:p w14:paraId="77973A0B" w14:textId="77777777" w:rsidR="004A3CD3" w:rsidRPr="00831397" w:rsidRDefault="006C0598">
      <w:pPr>
        <w:numPr>
          <w:ilvl w:val="1"/>
          <w:numId w:val="25"/>
        </w:numPr>
        <w:spacing w:after="7" w:line="248" w:lineRule="auto"/>
        <w:ind w:right="791" w:hanging="566"/>
        <w:rPr>
          <w:lang w:val="en-US"/>
        </w:rPr>
      </w:pPr>
      <w:r w:rsidRPr="00831397">
        <w:rPr>
          <w:lang w:val="en-US"/>
        </w:rPr>
        <w:t xml:space="preserve">In view of this exceptional situation and the urgency described, it is </w:t>
      </w:r>
      <w:r w:rsidRPr="00831397">
        <w:rPr>
          <w:b/>
          <w:lang w:val="en-US"/>
        </w:rPr>
        <w:t xml:space="preserve">absolutely necessary for Your Court to rule </w:t>
      </w:r>
      <w:r w:rsidRPr="00831397">
        <w:rPr>
          <w:lang w:val="en-US"/>
        </w:rPr>
        <w:t xml:space="preserve">on this case </w:t>
      </w:r>
      <w:r w:rsidRPr="00831397">
        <w:rPr>
          <w:b/>
          <w:lang w:val="en-US"/>
        </w:rPr>
        <w:t>as soon as possible.</w:t>
      </w:r>
      <w:r w:rsidRPr="00831397">
        <w:rPr>
          <w:lang w:val="en-US"/>
        </w:rPr>
        <w:t xml:space="preserve">   </w:t>
      </w:r>
    </w:p>
    <w:p w14:paraId="7F9A9E58" w14:textId="77777777" w:rsidR="00E933CB" w:rsidRPr="00831397" w:rsidRDefault="00825B93">
      <w:pPr>
        <w:spacing w:after="0" w:line="259" w:lineRule="auto"/>
        <w:ind w:left="464" w:right="0" w:firstLine="0"/>
        <w:jc w:val="left"/>
        <w:rPr>
          <w:lang w:val="en-US"/>
        </w:rPr>
      </w:pPr>
      <w:r w:rsidRPr="00831397">
        <w:rPr>
          <w:lang w:val="en-US"/>
        </w:rPr>
        <w:t xml:space="preserve"> </w:t>
      </w:r>
      <w:r w:rsidRPr="00831397">
        <w:rPr>
          <w:lang w:val="en-US"/>
        </w:rPr>
        <w:tab/>
        <w:t xml:space="preserve"> </w:t>
      </w:r>
    </w:p>
    <w:p w14:paraId="69B99AF7" w14:textId="77777777" w:rsidR="004A3CD3" w:rsidRDefault="006C0598">
      <w:pPr>
        <w:numPr>
          <w:ilvl w:val="0"/>
          <w:numId w:val="25"/>
        </w:numPr>
        <w:spacing w:after="203" w:line="249" w:lineRule="auto"/>
        <w:ind w:left="1060" w:right="0" w:hanging="881"/>
        <w:jc w:val="left"/>
      </w:pPr>
      <w:r>
        <w:rPr>
          <w:b/>
          <w:sz w:val="28"/>
          <w:u w:val="single" w:color="000000"/>
        </w:rPr>
        <w:t xml:space="preserve">Purpose of the call </w:t>
      </w:r>
    </w:p>
    <w:p w14:paraId="107ADF75" w14:textId="77777777" w:rsidR="004A3CD3" w:rsidRPr="00831397" w:rsidRDefault="006C0598">
      <w:pPr>
        <w:numPr>
          <w:ilvl w:val="1"/>
          <w:numId w:val="25"/>
        </w:numPr>
        <w:spacing w:after="27" w:line="248" w:lineRule="auto"/>
        <w:ind w:right="791" w:hanging="566"/>
        <w:rPr>
          <w:lang w:val="en-US"/>
        </w:rPr>
      </w:pPr>
      <w:r w:rsidRPr="00831397">
        <w:rPr>
          <w:lang w:val="en-US"/>
        </w:rPr>
        <w:t xml:space="preserve">The present appeal seeks to reverse in part the judgment under appeal insofar as it held:  </w:t>
      </w:r>
    </w:p>
    <w:p w14:paraId="54DB4A4B" w14:textId="77777777" w:rsidR="004A3CD3" w:rsidRPr="00831397" w:rsidRDefault="006C0598">
      <w:pPr>
        <w:numPr>
          <w:ilvl w:val="4"/>
          <w:numId w:val="27"/>
        </w:numPr>
        <w:spacing w:after="27"/>
        <w:ind w:right="794" w:hanging="360"/>
        <w:rPr>
          <w:lang w:val="en-US"/>
        </w:rPr>
      </w:pPr>
      <w:r w:rsidRPr="00831397">
        <w:rPr>
          <w:lang w:val="en-US"/>
        </w:rPr>
        <w:t>That, for the year 2020, the results obtained by the respondents had to be measured exclusively against the binding GHG emission reduction target enshrined in the Doha Amendment (international level), the binding GHG emission reduction obligations in non-ETS sectors enshrined in Decision 406/2009/EC (European level) and the intra-Belgian GHG emission reduction obligations enshrined in the cooperation agreement of 12 February 2018 (national level) by refraining from measuring them against the standard of behaviour imposed by Articles 2 and 8 of the ECHR and Article 1382 of the Civil Code with regard to the authorities' knowledge of the danger threatening their populations and the measures to be taken to help prevent or limit it;</w:t>
      </w:r>
    </w:p>
    <w:p w14:paraId="7BBE0153" w14:textId="77777777" w:rsidR="004A3CD3" w:rsidRPr="00831397" w:rsidRDefault="006C0598">
      <w:pPr>
        <w:numPr>
          <w:ilvl w:val="4"/>
          <w:numId w:val="27"/>
        </w:numPr>
        <w:spacing w:after="26" w:line="248" w:lineRule="auto"/>
        <w:ind w:right="794" w:hanging="360"/>
        <w:rPr>
          <w:lang w:val="en-US"/>
        </w:rPr>
      </w:pPr>
      <w:r w:rsidRPr="00831397">
        <w:rPr>
          <w:lang w:val="en-US"/>
        </w:rPr>
        <w:t xml:space="preserve">That the principle of separation of powers would preclude the Tribunal from imposing GHG emission reductions on the respondents; </w:t>
      </w:r>
    </w:p>
    <w:p w14:paraId="4345C470" w14:textId="77777777" w:rsidR="004A3CD3" w:rsidRPr="00831397" w:rsidRDefault="006C0598">
      <w:pPr>
        <w:numPr>
          <w:ilvl w:val="4"/>
          <w:numId w:val="27"/>
        </w:numPr>
        <w:spacing w:after="23"/>
        <w:ind w:right="794" w:hanging="360"/>
        <w:rPr>
          <w:lang w:val="en-US"/>
        </w:rPr>
      </w:pPr>
      <w:r w:rsidRPr="00831397">
        <w:rPr>
          <w:lang w:val="en-US"/>
        </w:rPr>
        <w:t xml:space="preserve">That the UNFCCC has been amended by the Kyoto Protocol and the Paris Agreement; </w:t>
      </w:r>
    </w:p>
    <w:p w14:paraId="668DDD1E" w14:textId="77777777" w:rsidR="004A3CD3" w:rsidRPr="00831397" w:rsidRDefault="006C0598">
      <w:pPr>
        <w:numPr>
          <w:ilvl w:val="4"/>
          <w:numId w:val="27"/>
        </w:numPr>
        <w:spacing w:after="27"/>
        <w:ind w:right="794" w:hanging="360"/>
        <w:rPr>
          <w:lang w:val="en-US"/>
        </w:rPr>
      </w:pPr>
      <w:r w:rsidRPr="00831397">
        <w:rPr>
          <w:lang w:val="en-US"/>
        </w:rPr>
        <w:t xml:space="preserve">That the judge must exercise marginal control over the compliance of the respondents with the standard of conduct imposed by Articles 2 and 8 of the ECHR and by Article 1382 of the Civil Code;  </w:t>
      </w:r>
    </w:p>
    <w:p w14:paraId="6B68BF55" w14:textId="77777777" w:rsidR="004A3CD3" w:rsidRPr="00831397" w:rsidRDefault="006C0598">
      <w:pPr>
        <w:numPr>
          <w:ilvl w:val="4"/>
          <w:numId w:val="27"/>
        </w:numPr>
        <w:spacing w:after="0"/>
        <w:ind w:right="794" w:hanging="360"/>
        <w:rPr>
          <w:lang w:val="en-US"/>
        </w:rPr>
      </w:pPr>
      <w:r w:rsidRPr="00831397">
        <w:rPr>
          <w:lang w:val="en-US"/>
        </w:rPr>
        <w:t xml:space="preserve">That adaptation, like mitigation, is an appropriate measure against global warming and that the scientific community agrees on the need to contain the concentration of GHGs at 450 ppm by 2100.  </w:t>
      </w:r>
    </w:p>
    <w:p w14:paraId="2C810E40" w14:textId="77777777" w:rsidR="00E933CB" w:rsidRPr="00831397" w:rsidRDefault="00825B93">
      <w:pPr>
        <w:spacing w:after="274" w:line="259" w:lineRule="auto"/>
        <w:ind w:left="1390" w:right="0" w:firstLine="0"/>
        <w:jc w:val="left"/>
        <w:rPr>
          <w:lang w:val="en-US"/>
        </w:rPr>
      </w:pPr>
      <w:r w:rsidRPr="00831397">
        <w:rPr>
          <w:lang w:val="en-US"/>
        </w:rPr>
        <w:t xml:space="preserve"> </w:t>
      </w:r>
    </w:p>
    <w:p w14:paraId="6E0C7627" w14:textId="77777777" w:rsidR="004A3CD3" w:rsidRPr="00831397" w:rsidRDefault="006C0598">
      <w:pPr>
        <w:spacing w:after="243" w:line="250" w:lineRule="auto"/>
        <w:ind w:left="1025" w:right="787" w:hanging="562"/>
        <w:rPr>
          <w:lang w:val="en-US"/>
        </w:rPr>
      </w:pPr>
      <w:r>
        <w:rPr>
          <w:noProof/>
        </w:rPr>
        <w:drawing>
          <wp:inline distT="0" distB="0" distL="0" distR="0" wp14:anchorId="27F12BC1" wp14:editId="6A285B6F">
            <wp:extent cx="198882" cy="104394"/>
            <wp:effectExtent l="0" t="0" r="0" b="0"/>
            <wp:docPr id="7308" name="Picture 7308"/>
            <wp:cNvGraphicFramePr/>
            <a:graphic xmlns:a="http://schemas.openxmlformats.org/drawingml/2006/main">
              <a:graphicData uri="http://schemas.openxmlformats.org/drawingml/2006/picture">
                <pic:pic xmlns:pic="http://schemas.openxmlformats.org/drawingml/2006/picture">
                  <pic:nvPicPr>
                    <pic:cNvPr id="7308" name="Picture 7308"/>
                    <pic:cNvPicPr/>
                  </pic:nvPicPr>
                  <pic:blipFill>
                    <a:blip r:embed="rId29"/>
                    <a:stretch>
                      <a:fillRect/>
                    </a:stretch>
                  </pic:blipFill>
                  <pic:spPr>
                    <a:xfrm>
                      <a:off x="0" y="0"/>
                      <a:ext cx="198882" cy="104394"/>
                    </a:xfrm>
                    <a:prstGeom prst="rect">
                      <a:avLst/>
                    </a:prstGeom>
                  </pic:spPr>
                </pic:pic>
              </a:graphicData>
            </a:graphic>
          </wp:inline>
        </w:drawing>
      </w:r>
      <w:r w:rsidRPr="00831397">
        <w:rPr>
          <w:b/>
          <w:sz w:val="24"/>
          <w:u w:val="single" w:color="000000"/>
          <w:lang w:val="en-US"/>
        </w:rPr>
        <w:t xml:space="preserve"> First complaint: the emission reduction targets imposed by the standard of conduct within the meaning of Articles 2 and 8 of the ECHR and Article 1382 of the Civil Code must be determined in the light of the authorities' knowledge of the danger threatening their populations and the measures to be taken to help prevent or limit it </w:t>
      </w:r>
    </w:p>
    <w:p w14:paraId="6F1DAC41" w14:textId="77777777" w:rsidR="004A3CD3" w:rsidRPr="00831397" w:rsidRDefault="006C0598">
      <w:pPr>
        <w:spacing w:after="262" w:line="249" w:lineRule="auto"/>
        <w:ind w:left="459" w:right="789" w:hanging="10"/>
        <w:rPr>
          <w:lang w:val="en-US"/>
        </w:rPr>
      </w:pPr>
      <w:r w:rsidRPr="00831397">
        <w:rPr>
          <w:b/>
          <w:lang w:val="en-US"/>
        </w:rPr>
        <w:lastRenderedPageBreak/>
        <w:t xml:space="preserve">V.1.1 </w:t>
      </w:r>
      <w:r w:rsidRPr="00831397">
        <w:rPr>
          <w:b/>
          <w:u w:val="single" w:color="000000"/>
          <w:lang w:val="en-US"/>
        </w:rPr>
        <w:t xml:space="preserve">Reminder and criticism of the judgment </w:t>
      </w:r>
    </w:p>
    <w:p w14:paraId="60661DA4" w14:textId="77777777" w:rsidR="004A3CD3" w:rsidRPr="00831397" w:rsidRDefault="006C0598">
      <w:pPr>
        <w:numPr>
          <w:ilvl w:val="1"/>
          <w:numId w:val="25"/>
        </w:numPr>
        <w:spacing w:after="267"/>
        <w:ind w:right="791" w:hanging="566"/>
        <w:rPr>
          <w:lang w:val="en-US"/>
        </w:rPr>
      </w:pPr>
      <w:r w:rsidRPr="00831397">
        <w:rPr>
          <w:lang w:val="en-US"/>
        </w:rPr>
        <w:t xml:space="preserve">The major difficulty in this case lies in the distinction between, on the one hand, scientific knowledge and the recognition by the international community of the measures to be taken to avoid the danger of dangerous global warming, and, on the other hand, the tangle of international and European law standards, known as positive law standards, which have been reflected in intra-Belgian national positive law (cooperation agreements), the quantified objectives of which do not coincide with the measures that are necessary in the light of this scientific knowledge.  </w:t>
      </w:r>
    </w:p>
    <w:p w14:paraId="488C094D" w14:textId="77777777" w:rsidR="004A3CD3" w:rsidRPr="00831397" w:rsidRDefault="006C0598">
      <w:pPr>
        <w:numPr>
          <w:ilvl w:val="1"/>
          <w:numId w:val="25"/>
        </w:numPr>
        <w:spacing w:line="248" w:lineRule="auto"/>
        <w:ind w:right="791" w:hanging="566"/>
        <w:rPr>
          <w:lang w:val="en-US"/>
        </w:rPr>
      </w:pPr>
      <w:r w:rsidRPr="00831397">
        <w:rPr>
          <w:lang w:val="en-US"/>
        </w:rPr>
        <w:t xml:space="preserve">The present action is based on the recognition of fault on the part of the Respondents, not on the basis of the violation of a norm of international or European climatic law, but on the basis of the </w:t>
      </w:r>
      <w:r w:rsidRPr="00831397">
        <w:rPr>
          <w:b/>
          <w:lang w:val="en-US"/>
        </w:rPr>
        <w:t>standard of conduct imposed by both Articles 2 and 8 of the ECHR and Article 1382 of the Civil Code</w:t>
      </w:r>
      <w:r w:rsidRPr="00831397">
        <w:rPr>
          <w:lang w:val="en-US"/>
        </w:rPr>
        <w:t xml:space="preserve">. </w:t>
      </w:r>
    </w:p>
    <w:p w14:paraId="3F4D97F4" w14:textId="77777777" w:rsidR="004A3CD3" w:rsidRPr="00831397" w:rsidRDefault="006C0598">
      <w:pPr>
        <w:ind w:left="1015" w:right="794"/>
        <w:rPr>
          <w:lang w:val="en-US"/>
        </w:rPr>
      </w:pPr>
      <w:r w:rsidRPr="00831397">
        <w:rPr>
          <w:lang w:val="en-US"/>
        </w:rPr>
        <w:t xml:space="preserve">The conclusion is that the standard of behaviour of the authorities should be defined in terms of their </w:t>
      </w:r>
      <w:r w:rsidRPr="00831397">
        <w:rPr>
          <w:b/>
          <w:lang w:val="en-US"/>
        </w:rPr>
        <w:t xml:space="preserve">knowledge of the danger of </w:t>
      </w:r>
      <w:r w:rsidRPr="00831397">
        <w:rPr>
          <w:lang w:val="en-US"/>
        </w:rPr>
        <w:t xml:space="preserve">global warming, its severity, </w:t>
      </w:r>
      <w:r w:rsidRPr="00831397">
        <w:rPr>
          <w:b/>
          <w:lang w:val="en-US"/>
        </w:rPr>
        <w:t xml:space="preserve">and what needs to be done </w:t>
      </w:r>
      <w:r w:rsidRPr="00831397">
        <w:rPr>
          <w:lang w:val="en-US"/>
        </w:rPr>
        <w:t xml:space="preserve">to help prevent it, or at least limit it.   </w:t>
      </w:r>
    </w:p>
    <w:p w14:paraId="1ECB4256" w14:textId="77777777" w:rsidR="004A3CD3" w:rsidRPr="00831397" w:rsidRDefault="006C0598">
      <w:pPr>
        <w:ind w:left="1015" w:right="794"/>
        <w:rPr>
          <w:lang w:val="en-US"/>
        </w:rPr>
      </w:pPr>
      <w:r w:rsidRPr="00831397">
        <w:rPr>
          <w:lang w:val="en-US"/>
        </w:rPr>
        <w:t xml:space="preserve">It is not a question of debating whether the respondents have fulfilled their obligations under international, European or Belgian positive climate law.  </w:t>
      </w:r>
    </w:p>
    <w:p w14:paraId="76BC96C9" w14:textId="77777777" w:rsidR="004A3CD3" w:rsidRPr="00831397" w:rsidRDefault="006C0598">
      <w:pPr>
        <w:spacing w:after="263" w:line="249" w:lineRule="auto"/>
        <w:ind w:left="1025" w:right="788" w:hanging="10"/>
        <w:rPr>
          <w:lang w:val="en-US"/>
        </w:rPr>
      </w:pPr>
      <w:r w:rsidRPr="00831397">
        <w:rPr>
          <w:b/>
          <w:lang w:val="en-US"/>
        </w:rPr>
        <w:t xml:space="preserve">The Court's task is to determine whether, in the light of the authorities' knowledge of the danger and of the urgent measures to be taken to help prevent or limit it, they complied with their positive obligations under Articles 2 and 8 of the ECHR and acted as normally prudent and diligent authorities within the meaning of Article 1382 of the Civil Code.  </w:t>
      </w:r>
    </w:p>
    <w:p w14:paraId="3BF18A0A" w14:textId="77777777" w:rsidR="004A3CD3" w:rsidRPr="00831397" w:rsidRDefault="006C0598">
      <w:pPr>
        <w:numPr>
          <w:ilvl w:val="1"/>
          <w:numId w:val="25"/>
        </w:numPr>
        <w:spacing w:after="267"/>
        <w:ind w:right="791" w:hanging="566"/>
        <w:rPr>
          <w:lang w:val="en-US"/>
        </w:rPr>
      </w:pPr>
      <w:r w:rsidRPr="00831397">
        <w:rPr>
          <w:lang w:val="en-US"/>
        </w:rPr>
        <w:t xml:space="preserve">This clarification is necessary since the judgment seems to have confused the two - yet distinct - sources of fault within the meaning of Article 1382 of the Civil Code. In fact, in order to establish fault, the Court of First Instance considered that, with regard to the period elapsing in 2020, : </w:t>
      </w:r>
    </w:p>
    <w:p w14:paraId="3C498690" w14:textId="77777777" w:rsidR="004A3CD3" w:rsidRDefault="006C0598">
      <w:pPr>
        <w:numPr>
          <w:ilvl w:val="3"/>
          <w:numId w:val="26"/>
        </w:numPr>
        <w:spacing w:after="277"/>
        <w:ind w:right="794" w:hanging="360"/>
      </w:pPr>
      <w:r>
        <w:t xml:space="preserve">At the international level, "the only binding target for Belgium for 2020 is the 20% reduction in GHG emissions" </w:t>
      </w:r>
      <w:r>
        <w:rPr>
          <w:sz w:val="20"/>
          <w:vertAlign w:val="superscript"/>
        </w:rPr>
        <w:t>66</w:t>
      </w:r>
      <w:r>
        <w:t xml:space="preserve">included in the Doha amendment; </w:t>
      </w:r>
    </w:p>
    <w:p w14:paraId="6BBC0F7C" w14:textId="77777777" w:rsidR="004A3CD3" w:rsidRDefault="006C0598">
      <w:pPr>
        <w:numPr>
          <w:ilvl w:val="3"/>
          <w:numId w:val="26"/>
        </w:numPr>
        <w:spacing w:after="287"/>
        <w:ind w:right="794" w:hanging="360"/>
      </w:pPr>
      <w:r>
        <w:t>At European level, the only GHG emission reduction obligations to be met by 2020 are those set out in Decision 406/2009/EC, which concern non-ETS sectors</w:t>
      </w:r>
      <w:r>
        <w:rPr>
          <w:sz w:val="20"/>
          <w:vertAlign w:val="superscript"/>
        </w:rPr>
        <w:t>67</w:t>
      </w:r>
      <w:r>
        <w:t xml:space="preserve">; </w:t>
      </w:r>
    </w:p>
    <w:p w14:paraId="28AB0BB3" w14:textId="77777777" w:rsidR="004A3CD3" w:rsidRDefault="006C0598">
      <w:pPr>
        <w:numPr>
          <w:ilvl w:val="3"/>
          <w:numId w:val="26"/>
        </w:numPr>
        <w:spacing w:after="0"/>
        <w:ind w:right="794" w:hanging="360"/>
      </w:pPr>
      <w:r>
        <w:t xml:space="preserve">at the domestic level, the only GHG emission reduction obligations to be met by 2020 are those set out in the cooperation agreement of 12 February 2018 </w:t>
      </w:r>
    </w:p>
    <w:p w14:paraId="44EC8B0C" w14:textId="77777777" w:rsidR="004A3CD3" w:rsidRDefault="006C0598">
      <w:pPr>
        <w:spacing w:after="173" w:line="259" w:lineRule="auto"/>
        <w:ind w:left="1390" w:right="0" w:firstLine="0"/>
        <w:jc w:val="left"/>
      </w:pPr>
      <w:r>
        <w:rPr>
          <w:sz w:val="13"/>
        </w:rPr>
        <w:t>68</w:t>
      </w:r>
      <w:r>
        <w:t xml:space="preserve">. </w:t>
      </w:r>
    </w:p>
    <w:p w14:paraId="419F2DF7" w14:textId="77777777" w:rsidR="004A3CD3" w:rsidRDefault="006C0598">
      <w:pPr>
        <w:spacing w:after="267"/>
        <w:ind w:left="1015" w:right="794"/>
      </w:pPr>
      <w:r>
        <w:t xml:space="preserve">These standards of international, European and national climate law have been considered to the </w:t>
      </w:r>
      <w:r>
        <w:rPr>
          <w:b/>
        </w:rPr>
        <w:t xml:space="preserve">exclusion of </w:t>
      </w:r>
      <w:r>
        <w:t xml:space="preserve">the standard of conduct deriving from Articles 2 and 8 of the ECHR and Article 1382 of the Civil Code with regard to the authorities' knowledge of the danger and the urgent measures to be taken to help prevent or limit it. </w:t>
      </w:r>
    </w:p>
    <w:p w14:paraId="12B33812" w14:textId="77777777" w:rsidR="004A3CD3" w:rsidRDefault="006C0598">
      <w:pPr>
        <w:tabs>
          <w:tab w:val="center" w:pos="604"/>
          <w:tab w:val="center" w:pos="3878"/>
        </w:tabs>
        <w:ind w:left="0" w:right="0" w:firstLine="0"/>
        <w:jc w:val="left"/>
      </w:pPr>
      <w:r>
        <w:tab/>
        <w:t xml:space="preserve">79. </w:t>
      </w:r>
      <w:r>
        <w:rPr>
          <w:rFonts w:ascii="Arial" w:eastAsia="Arial" w:hAnsi="Arial" w:cs="Arial"/>
        </w:rPr>
        <w:tab/>
      </w:r>
      <w:r>
        <w:t xml:space="preserve">The respondents wish to </w:t>
      </w:r>
      <w:r>
        <w:rPr>
          <w:b/>
        </w:rPr>
        <w:t xml:space="preserve">limit </w:t>
      </w:r>
      <w:r>
        <w:t xml:space="preserve">this appeal </w:t>
      </w:r>
      <w:r>
        <w:rPr>
          <w:b/>
        </w:rPr>
        <w:t>strictly.</w:t>
      </w:r>
      <w:r>
        <w:t xml:space="preserve">     </w:t>
      </w:r>
    </w:p>
    <w:p w14:paraId="007ACE21" w14:textId="77777777" w:rsidR="004A3CD3" w:rsidRDefault="006C0598">
      <w:pPr>
        <w:spacing w:after="144" w:line="248" w:lineRule="auto"/>
        <w:ind w:left="1040" w:right="791" w:hanging="10"/>
      </w:pPr>
      <w:r>
        <w:t xml:space="preserve">Indeed, the judgment under review concluded that there was a fault based on a triple finding:  </w:t>
      </w:r>
    </w:p>
    <w:p w14:paraId="02427553" w14:textId="77777777" w:rsidR="004A3CD3" w:rsidRDefault="006C0598">
      <w:pPr>
        <w:numPr>
          <w:ilvl w:val="1"/>
          <w:numId w:val="28"/>
        </w:numPr>
        <w:spacing w:after="26"/>
        <w:ind w:right="2523" w:hanging="360"/>
      </w:pPr>
      <w:r>
        <w:t xml:space="preserve">the poor results in terms of figures, assessed exclusively in relation to the obligations set out in international, European and national positive climate law;  </w:t>
      </w:r>
    </w:p>
    <w:p w14:paraId="4A9BA082" w14:textId="77777777" w:rsidR="004A3CD3" w:rsidRDefault="006C0598">
      <w:pPr>
        <w:numPr>
          <w:ilvl w:val="1"/>
          <w:numId w:val="28"/>
        </w:numPr>
        <w:ind w:right="2523" w:hanging="360"/>
      </w:pPr>
      <w:r>
        <w:lastRenderedPageBreak/>
        <w:t xml:space="preserve">the lack of good climate governance; and </w:t>
      </w:r>
      <w:r>
        <w:rPr>
          <w:rFonts w:ascii="Arial" w:eastAsia="Arial" w:hAnsi="Arial" w:cs="Arial"/>
        </w:rPr>
        <w:tab/>
      </w:r>
      <w:r>
        <w:t xml:space="preserve">repeated warnings from the European Union. </w:t>
      </w:r>
    </w:p>
    <w:p w14:paraId="4F6978C6" w14:textId="77777777" w:rsidR="004A3CD3" w:rsidRDefault="006C0598">
      <w:pPr>
        <w:ind w:left="1015" w:right="794"/>
      </w:pPr>
      <w:r>
        <w:t xml:space="preserve">The findings do not call into question the Tribunal's findings of poor performance, lack of good governance and repeated warnings from the European Union.  </w:t>
      </w:r>
    </w:p>
    <w:p w14:paraId="1C4B117C" w14:textId="77777777" w:rsidR="004A3CD3" w:rsidRDefault="006C0598">
      <w:pPr>
        <w:spacing w:after="405"/>
        <w:ind w:left="1015" w:right="794"/>
      </w:pPr>
      <w:r>
        <w:t xml:space="preserve">What they challenge is the assertion that </w:t>
      </w:r>
      <w:r>
        <w:rPr>
          <w:b/>
        </w:rPr>
        <w:t xml:space="preserve">only </w:t>
      </w:r>
      <w:r>
        <w:t xml:space="preserve">objectives enshrined in positive international, European and national domestic climate law standards are binding. Indeed, such an assertion amounts to </w:t>
      </w:r>
      <w:r>
        <w:rPr>
          <w:b/>
        </w:rPr>
        <w:t xml:space="preserve">confusing </w:t>
      </w:r>
      <w:r>
        <w:t xml:space="preserve">the fault by failure to comply with the norm of behaviour with the fault by failure to comply with the norm of positive law. </w:t>
      </w:r>
    </w:p>
    <w:p w14:paraId="06EA7574" w14:textId="77777777" w:rsidR="00E933CB" w:rsidRDefault="00825B93">
      <w:pPr>
        <w:spacing w:after="54" w:line="259" w:lineRule="auto"/>
        <w:ind w:left="1030" w:right="0" w:firstLine="0"/>
        <w:jc w:val="left"/>
      </w:pPr>
      <w:r>
        <w:rPr>
          <w:strike/>
        </w:rPr>
        <w:t xml:space="preserve">                                                         </w:t>
      </w:r>
      <w:r>
        <w:t xml:space="preserve"> </w:t>
      </w:r>
    </w:p>
    <w:p w14:paraId="6BA8877A" w14:textId="77777777" w:rsidR="004A3CD3" w:rsidRDefault="006C0598">
      <w:pPr>
        <w:spacing w:after="3" w:line="386" w:lineRule="auto"/>
        <w:ind w:left="742" w:right="7136" w:hanging="10"/>
        <w:jc w:val="left"/>
      </w:pPr>
      <w:r>
        <w:rPr>
          <w:sz w:val="18"/>
          <w:vertAlign w:val="superscript"/>
        </w:rPr>
        <w:t>66</w:t>
      </w:r>
      <w:r>
        <w:rPr>
          <w:sz w:val="18"/>
        </w:rPr>
        <w:t xml:space="preserve">  Judgement undertaken, p. 67 </w:t>
      </w:r>
      <w:r>
        <w:rPr>
          <w:i/>
          <w:sz w:val="18"/>
        </w:rPr>
        <w:t>Ibid</w:t>
      </w:r>
      <w:r>
        <w:rPr>
          <w:sz w:val="18"/>
          <w:vertAlign w:val="superscript"/>
        </w:rPr>
        <w:t>67</w:t>
      </w:r>
      <w:r>
        <w:rPr>
          <w:sz w:val="18"/>
        </w:rPr>
        <w:t xml:space="preserve">, pp. 68-69. </w:t>
      </w:r>
    </w:p>
    <w:p w14:paraId="3B625732" w14:textId="77777777" w:rsidR="004A3CD3" w:rsidRDefault="006C0598">
      <w:pPr>
        <w:spacing w:after="3" w:line="260" w:lineRule="auto"/>
        <w:ind w:left="742" w:right="287" w:hanging="10"/>
        <w:jc w:val="left"/>
      </w:pPr>
      <w:r>
        <w:rPr>
          <w:sz w:val="18"/>
          <w:vertAlign w:val="superscript"/>
        </w:rPr>
        <w:t>68</w:t>
      </w:r>
      <w:r>
        <w:rPr>
          <w:sz w:val="18"/>
        </w:rPr>
        <w:t xml:space="preserve"> </w:t>
      </w:r>
      <w:r>
        <w:rPr>
          <w:i/>
          <w:sz w:val="18"/>
        </w:rPr>
        <w:t>Ibid</w:t>
      </w:r>
      <w:r>
        <w:rPr>
          <w:sz w:val="18"/>
        </w:rPr>
        <w:t xml:space="preserve">, p. 71. </w:t>
      </w:r>
    </w:p>
    <w:p w14:paraId="46B7E704" w14:textId="77777777" w:rsidR="004A3CD3" w:rsidRDefault="006C0598">
      <w:pPr>
        <w:ind w:left="1015" w:right="794"/>
      </w:pPr>
      <w:r>
        <w:t xml:space="preserve">However, the judgment under review itself recalled the principle established by the Court of Cassation in its judgment of 25 October 2004, according to which fault has its origin in two distinct sources:  </w:t>
      </w:r>
    </w:p>
    <w:p w14:paraId="182653BB" w14:textId="77777777" w:rsidR="004A3CD3" w:rsidRDefault="006C0598">
      <w:pPr>
        <w:spacing w:line="248" w:lineRule="auto"/>
        <w:ind w:left="1591" w:right="791" w:hanging="10"/>
      </w:pPr>
      <w:r>
        <w:rPr>
          <w:i/>
        </w:rPr>
        <w:t xml:space="preserve">"The fault of the administrative authority, which may, on the basis of articles 1382 and 1383 of the Civil Code, engage its liability, consists of conduct which </w:t>
      </w:r>
      <w:r>
        <w:rPr>
          <w:b/>
          <w:i/>
        </w:rPr>
        <w:t xml:space="preserve">either </w:t>
      </w:r>
      <w:r>
        <w:rPr>
          <w:i/>
        </w:rPr>
        <w:t xml:space="preserve">amounts to an error of conduct to be assessed according to the criterion of the normally careful and prudent administrative authority placed in the same conditions, </w:t>
      </w:r>
      <w:r>
        <w:rPr>
          <w:b/>
          <w:i/>
        </w:rPr>
        <w:t xml:space="preserve">or </w:t>
      </w:r>
      <w:r>
        <w:rPr>
          <w:i/>
        </w:rPr>
        <w:t>(...) violates a norm of international law or of an international treaty having effects in the internal legal order, requiring that authority to refrain from or to act in a specific manner"</w:t>
      </w:r>
      <w:r>
        <w:rPr>
          <w:i/>
          <w:sz w:val="20"/>
          <w:vertAlign w:val="superscript"/>
        </w:rPr>
        <w:footnoteReference w:id="65"/>
      </w:r>
      <w:r>
        <w:rPr>
          <w:i/>
        </w:rPr>
        <w:t xml:space="preserve">. </w:t>
      </w:r>
    </w:p>
    <w:p w14:paraId="1166E728" w14:textId="77777777" w:rsidR="004A3CD3" w:rsidRDefault="006C0598">
      <w:pPr>
        <w:ind w:left="1015" w:right="794"/>
      </w:pPr>
      <w:r>
        <w:t xml:space="preserve">It follows from the foregoing that the standard of conduct is not the same as the obligations of positive law. It is analysed in the light of a standard of conduct, defined both in the light of existing norms of positive law and in the light of all the particular circumstances of the case.  </w:t>
      </w:r>
    </w:p>
    <w:p w14:paraId="33BEA22E" w14:textId="77777777" w:rsidR="004A3CD3" w:rsidRDefault="006C0598">
      <w:pPr>
        <w:spacing w:after="109" w:line="249" w:lineRule="auto"/>
        <w:ind w:left="1025" w:right="788" w:hanging="10"/>
      </w:pPr>
      <w:r>
        <w:rPr>
          <w:b/>
        </w:rPr>
        <w:t xml:space="preserve">By confining itself to taking as a reference only the emission reduction targets laid down by the rules of positive international, European and Belgian law, and consequently refraining from analysing the authorities' conduct in the light of their knowledge of the danger and of what needed to be done to help prevent or limit it, the Court of </w:t>
      </w:r>
      <w:r>
        <w:t>First</w:t>
      </w:r>
      <w:r>
        <w:rPr>
          <w:b/>
        </w:rPr>
        <w:t xml:space="preserve"> Instance erred in law.</w:t>
      </w:r>
      <w:r>
        <w:t xml:space="preserve">  </w:t>
      </w:r>
    </w:p>
    <w:p w14:paraId="33607E7A" w14:textId="77777777" w:rsidR="004A3CD3" w:rsidRDefault="006C0598">
      <w:pPr>
        <w:spacing w:after="277" w:line="248" w:lineRule="auto"/>
        <w:ind w:left="1040" w:right="791" w:hanging="10"/>
      </w:pPr>
      <w:r>
        <w:t>This is all the more so since the Tribunal itself has acknowledged the following: "</w:t>
      </w:r>
      <w:r>
        <w:rPr>
          <w:i/>
        </w:rPr>
        <w:t>Finally, science evolves, as demonstrated in particular by the successive IPCC reports. It is therefore in the light of the scientific knowledge available at a given time that the degree of knowledge of the risks is assessed, and hence the conduct of the public authorities in relation to those risks</w:t>
      </w:r>
      <w:r>
        <w:t>"</w:t>
      </w:r>
      <w:r>
        <w:rPr>
          <w:sz w:val="20"/>
          <w:vertAlign w:val="superscript"/>
        </w:rPr>
        <w:t>70</w:t>
      </w:r>
      <w:r>
        <w:t xml:space="preserve">, a consideration which is typically endorsed by the standard of conduct. </w:t>
      </w:r>
    </w:p>
    <w:p w14:paraId="17E0D7E7" w14:textId="77777777" w:rsidR="004A3CD3" w:rsidRDefault="006C0598">
      <w:pPr>
        <w:numPr>
          <w:ilvl w:val="0"/>
          <w:numId w:val="29"/>
        </w:numPr>
        <w:spacing w:after="267"/>
        <w:ind w:right="792" w:hanging="566"/>
      </w:pPr>
      <w:r>
        <w:t xml:space="preserve">Although the respondents were successful in finding fault </w:t>
      </w:r>
      <w:r>
        <w:rPr>
          <w:i/>
        </w:rPr>
        <w:t>in the end</w:t>
      </w:r>
      <w:r>
        <w:t xml:space="preserve">, the correction of this error in law is fundamental, since it is also the source of the Tribunal's erroneous reasoning with regard to injunctions. Indeed, if the Tribunal had found the existence of a fault by determining the standard of conduct in the light of scientific knowledge, recognized by the international community as a whole, of the danger and of the measures to be taken to avoid or limit it, there was no reason why the Tribunal could not order the authorities to take appropriate measures in the light of that same knowledge. This will be demonstrated below. </w:t>
      </w:r>
    </w:p>
    <w:p w14:paraId="27C77AA2" w14:textId="77777777" w:rsidR="004A3CD3" w:rsidRDefault="006C0598">
      <w:pPr>
        <w:spacing w:after="262" w:line="249" w:lineRule="auto"/>
        <w:ind w:left="1025" w:right="785" w:hanging="576"/>
      </w:pPr>
      <w:r>
        <w:rPr>
          <w:b/>
        </w:rPr>
        <w:lastRenderedPageBreak/>
        <w:t xml:space="preserve">V.1.2 In the </w:t>
      </w:r>
      <w:r>
        <w:rPr>
          <w:b/>
          <w:u w:val="single" w:color="000000"/>
        </w:rPr>
        <w:t>light of the knowledge of the danger and the measures to be taken to avoid or limit it, what is the standard of behaviour which is binding on the authorities under Articles 2 and 8 of the ECHR and Article 1382 of the Civil Code?</w:t>
      </w:r>
      <w:r>
        <w:rPr>
          <w:b/>
        </w:rPr>
        <w:t xml:space="preserve">  </w:t>
      </w:r>
    </w:p>
    <w:p w14:paraId="2AB857CB" w14:textId="77777777" w:rsidR="004A3CD3" w:rsidRDefault="006C0598">
      <w:pPr>
        <w:numPr>
          <w:ilvl w:val="0"/>
          <w:numId w:val="29"/>
        </w:numPr>
        <w:spacing w:line="248" w:lineRule="auto"/>
        <w:ind w:right="792" w:hanging="566"/>
      </w:pPr>
      <w:r>
        <w:t xml:space="preserve">The question at the heart of this case is the following: what can be expected of a public authority that has knowledge of a danger that seriously threatens the life and living environment of its population, and of the measures to be taken to help avoid or limit it?  </w:t>
      </w:r>
    </w:p>
    <w:p w14:paraId="7D0CD066" w14:textId="77777777" w:rsidR="004A3CD3" w:rsidRDefault="006C0598">
      <w:pPr>
        <w:spacing w:line="248" w:lineRule="auto"/>
        <w:ind w:left="1040" w:right="791" w:hanging="10"/>
      </w:pPr>
      <w:r>
        <w:t xml:space="preserve">The question arises under Article 1382 of the Civil Code: in the light of the specific circumstances of the case, what can be expected of a normally prudent and diligent public authority placed in the same conditions? </w:t>
      </w:r>
    </w:p>
    <w:p w14:paraId="6FA3C819" w14:textId="77777777" w:rsidR="004A3CD3" w:rsidRDefault="006C0598">
      <w:pPr>
        <w:spacing w:after="266"/>
        <w:ind w:left="1015" w:right="794"/>
      </w:pPr>
      <w:r>
        <w:t xml:space="preserve">The question also arises with regard to Articles 2 and 8 of the ECHR, since global warming threatens the right to life and respect for private and family life and the home of individuals: what positive obligations do Articles 2 and 8 of the ECHR impose on public authorities?  </w:t>
      </w:r>
    </w:p>
    <w:p w14:paraId="79404869" w14:textId="77777777" w:rsidR="004A3CD3" w:rsidRDefault="006C0598">
      <w:pPr>
        <w:tabs>
          <w:tab w:val="center" w:pos="560"/>
          <w:tab w:val="center" w:pos="3426"/>
        </w:tabs>
        <w:spacing w:after="264" w:line="248" w:lineRule="auto"/>
        <w:ind w:left="0" w:right="0" w:firstLine="0"/>
        <w:jc w:val="left"/>
      </w:pPr>
      <w:r>
        <w:tab/>
      </w:r>
      <w:r>
        <w:rPr>
          <w:b/>
          <w:i/>
        </w:rPr>
        <w:t xml:space="preserve">A. </w:t>
      </w:r>
      <w:r>
        <w:rPr>
          <w:rFonts w:ascii="Arial" w:eastAsia="Arial" w:hAnsi="Arial" w:cs="Arial"/>
          <w:b/>
          <w:i/>
        </w:rPr>
        <w:tab/>
      </w:r>
      <w:r>
        <w:rPr>
          <w:b/>
          <w:i/>
          <w:u w:val="single" w:color="000000"/>
        </w:rPr>
        <w:t xml:space="preserve">Knowledge of the danger and the measures to be taken </w:t>
      </w:r>
    </w:p>
    <w:p w14:paraId="3226E28D" w14:textId="77777777" w:rsidR="004A3CD3" w:rsidRDefault="006C0598">
      <w:pPr>
        <w:numPr>
          <w:ilvl w:val="0"/>
          <w:numId w:val="30"/>
        </w:numPr>
        <w:ind w:right="792" w:hanging="566"/>
      </w:pPr>
      <w:r>
        <w:t xml:space="preserve">Parties agree on the climate science understanding that there is a real threat of dangerous global warming in the coming decades. Within climate science and the international community, there is a broad consensus on this threat. In short, it is as follows.  </w:t>
      </w:r>
    </w:p>
    <w:p w14:paraId="18CDFF2F" w14:textId="77777777" w:rsidR="004A3CD3" w:rsidRDefault="006C0598">
      <w:pPr>
        <w:ind w:left="1015" w:right="794"/>
      </w:pPr>
      <w:r>
        <w:t>Emissions of GHGs, and in particular CO</w:t>
      </w:r>
      <w:r>
        <w:rPr>
          <w:vertAlign w:val="subscript"/>
        </w:rPr>
        <w:t>2</w:t>
      </w:r>
      <w:r>
        <w:t xml:space="preserve"> due to its longevity and accumulation, are leading to an increasing concentration of GHGs in the atmosphere. These GHGs are responsible for the increasing warming of the earth. Since the beginning of the industrial revolution, the warming has been about 1.1°C. As early as 2007, a broad consensus in climate science and within the international community was formed around the need to limit warming to 2°C. From 2009 onwards, this limit was progressively abandoned, and the threshold of 1.5°C was reached. This evolution was formally enshrined in Article 2.1 of the Paris Agreement (2015). </w:t>
      </w:r>
    </w:p>
    <w:p w14:paraId="31C37E40" w14:textId="77777777" w:rsidR="004A3CD3" w:rsidRDefault="006C0598">
      <w:pPr>
        <w:spacing w:after="267"/>
        <w:ind w:left="1015" w:right="794"/>
      </w:pPr>
      <w:r>
        <w:t xml:space="preserve">The effects of a warming climate described as "dangerous" are: extreme heat, extreme drought, extreme precipitation, disruption of ecosystems threatening, among other things, food supply, rising sea levels due to melting glaciers and polar ice caps, floods, etc. Warming can also lead to breaking points, known as tipping points, involving abrupt and drastic changes in the climate, with no return to the initial state. As a result, the lives, well-being and living environment of all the world's inhabitants are threatened. Some of these consequences are already occurring today.  </w:t>
      </w:r>
    </w:p>
    <w:p w14:paraId="33CF1E5D" w14:textId="77777777" w:rsidR="004A3CD3" w:rsidRDefault="006C0598">
      <w:pPr>
        <w:numPr>
          <w:ilvl w:val="0"/>
          <w:numId w:val="30"/>
        </w:numPr>
        <w:spacing w:after="267"/>
        <w:ind w:right="792" w:hanging="566"/>
      </w:pPr>
      <w:r>
        <w:t xml:space="preserve">According to the 2007 IPCC AR4, in order to keep the current warming to 2°C, it is imperative to limit the total presence of GHGs in the atmosphere to 450 ppm CO2-eq. The more recently recognized 1.5°C target requires a GHG concentration level of 430 ppm CO2-eq.  </w:t>
      </w:r>
    </w:p>
    <w:p w14:paraId="2BCCA9B5" w14:textId="77777777" w:rsidR="004A3CD3" w:rsidRDefault="006C0598">
      <w:pPr>
        <w:numPr>
          <w:ilvl w:val="0"/>
          <w:numId w:val="30"/>
        </w:numPr>
        <w:spacing w:after="266" w:line="248" w:lineRule="auto"/>
        <w:ind w:right="792" w:hanging="566"/>
      </w:pPr>
      <w:r>
        <w:t xml:space="preserve">As early as 2007, it was therefore recognized by climate science and the international community that the objective of keeping warming below a certain threshold necessarily implied a drastic reduction in all GHG emissions.  </w:t>
      </w:r>
    </w:p>
    <w:p w14:paraId="65974903" w14:textId="77777777" w:rsidR="004A3CD3" w:rsidRDefault="006C0598">
      <w:pPr>
        <w:numPr>
          <w:ilvl w:val="0"/>
          <w:numId w:val="30"/>
        </w:numPr>
        <w:spacing w:after="266" w:line="248" w:lineRule="auto"/>
        <w:ind w:right="792" w:hanging="566"/>
      </w:pPr>
      <w:r>
        <w:t xml:space="preserve">Referring to the 2007 IPCC AR4 report, Parties recognized and accepted the need for Annex I Parties to collectively reduce their emissions by at least 25% to 40% by 2020 and by at least 80% to 95% by 2050, in order to limit global warming to 2°C.  </w:t>
      </w:r>
    </w:p>
    <w:p w14:paraId="77D8E422" w14:textId="77777777" w:rsidR="004A3CD3" w:rsidRDefault="006C0598">
      <w:pPr>
        <w:numPr>
          <w:ilvl w:val="0"/>
          <w:numId w:val="30"/>
        </w:numPr>
        <w:spacing w:after="265"/>
        <w:ind w:right="792" w:hanging="566"/>
      </w:pPr>
      <w:r>
        <w:t xml:space="preserve">It has been formally agreed since the Paris Agreement (2015) that warming must be kept "well below 2°C" and should preferably be limited to 1.5°C. </w:t>
      </w:r>
    </w:p>
    <w:p w14:paraId="56B4E9B5" w14:textId="77777777" w:rsidR="004A3CD3" w:rsidRDefault="006C0598">
      <w:pPr>
        <w:numPr>
          <w:ilvl w:val="0"/>
          <w:numId w:val="30"/>
        </w:numPr>
        <w:spacing w:after="0" w:line="248" w:lineRule="auto"/>
        <w:ind w:right="792" w:hanging="566"/>
      </w:pPr>
      <w:r>
        <w:lastRenderedPageBreak/>
        <w:t>Currently, we are at 413.77 ppm CO</w:t>
      </w:r>
      <w:r>
        <w:rPr>
          <w:vertAlign w:val="subscript"/>
        </w:rPr>
        <w:t>2</w:t>
      </w:r>
      <w:r>
        <w:t xml:space="preserve"> in the atmosphere</w:t>
      </w:r>
      <w:r>
        <w:rPr>
          <w:sz w:val="20"/>
          <w:vertAlign w:val="superscript"/>
        </w:rPr>
        <w:footnoteReference w:id="66"/>
      </w:r>
      <w:r>
        <w:t xml:space="preserve">. This leaves very little room for GHG emissions to be emitted worldwide. All states </w:t>
      </w:r>
    </w:p>
    <w:p w14:paraId="75769A3F" w14:textId="77777777" w:rsidR="004A3CD3" w:rsidRDefault="006C0598">
      <w:pPr>
        <w:ind w:left="1015" w:right="794"/>
      </w:pPr>
      <w:r>
        <w:t xml:space="preserve">Parties, including Belgium, are well aware that each additional issue issued at </w:t>
      </w:r>
    </w:p>
    <w:p w14:paraId="62084664" w14:textId="77777777" w:rsidR="004A3CD3" w:rsidRDefault="006C0598">
      <w:pPr>
        <w:spacing w:after="267"/>
        <w:ind w:left="1015" w:right="794"/>
      </w:pPr>
      <w:r>
        <w:t xml:space="preserve">From its territory contributes to reduce the remaining carbon budget, and brings us closer to the limit that must not be exceeded to avoid a dangerous warming for humanity.   </w:t>
      </w:r>
    </w:p>
    <w:p w14:paraId="72814C8E" w14:textId="77777777" w:rsidR="004A3CD3" w:rsidRDefault="006C0598">
      <w:pPr>
        <w:spacing w:after="264" w:line="248" w:lineRule="auto"/>
        <w:ind w:left="1015" w:right="787" w:hanging="566"/>
        <w:jc w:val="left"/>
      </w:pPr>
      <w:r>
        <w:rPr>
          <w:b/>
          <w:i/>
        </w:rPr>
        <w:t xml:space="preserve">B. </w:t>
      </w:r>
      <w:r>
        <w:rPr>
          <w:b/>
          <w:i/>
          <w:u w:val="single" w:color="000000"/>
        </w:rPr>
        <w:t>Which standard of behaviour was required for Belgium in the past (2020) and which one is required for the future (2030)?</w:t>
      </w:r>
      <w:r>
        <w:rPr>
          <w:b/>
          <w:i/>
        </w:rPr>
        <w:t xml:space="preserve">  </w:t>
      </w:r>
    </w:p>
    <w:p w14:paraId="6562E8CE" w14:textId="77777777" w:rsidR="004A3CD3" w:rsidRDefault="006C0598">
      <w:pPr>
        <w:numPr>
          <w:ilvl w:val="0"/>
          <w:numId w:val="31"/>
        </w:numPr>
        <w:spacing w:after="267" w:line="248" w:lineRule="auto"/>
        <w:ind w:right="791" w:hanging="566"/>
      </w:pPr>
      <w:r>
        <w:t xml:space="preserve">The purpose of this point is to define </w:t>
      </w:r>
      <w:r>
        <w:rPr>
          <w:b/>
        </w:rPr>
        <w:t xml:space="preserve">the standard of behaviour that </w:t>
      </w:r>
      <w:r>
        <w:t xml:space="preserve">Belgium must meet, both for the past (2020) and for the future (2030), with regard to the specific characteristics of the global warming problem. </w:t>
      </w:r>
    </w:p>
    <w:p w14:paraId="1E8A258B" w14:textId="77777777" w:rsidR="004A3CD3" w:rsidRDefault="006C0598">
      <w:pPr>
        <w:numPr>
          <w:ilvl w:val="0"/>
          <w:numId w:val="31"/>
        </w:numPr>
        <w:spacing w:line="248" w:lineRule="auto"/>
        <w:ind w:right="791" w:hanging="566"/>
      </w:pPr>
      <w:r>
        <w:t xml:space="preserve">As a reminder, for the purposes of the application of Article 1382 of the Civil Code, this is the standard of behaviour that can be expected from a prudent and diligent public authority in the same circumstances.  </w:t>
      </w:r>
    </w:p>
    <w:p w14:paraId="34CEFEE4" w14:textId="77777777" w:rsidR="004A3CD3" w:rsidRDefault="006C0598">
      <w:pPr>
        <w:ind w:left="1015" w:right="794"/>
      </w:pPr>
      <w:r>
        <w:t xml:space="preserve">When faced with a danger to people's lives and their general living environment, it goes without saying that the authorities are expected to act to avoid the danger, or at least to limit it.  </w:t>
      </w:r>
    </w:p>
    <w:p w14:paraId="04154FEB" w14:textId="77777777" w:rsidR="004A3CD3" w:rsidRDefault="006C0598">
      <w:pPr>
        <w:ind w:left="1015" w:right="794"/>
      </w:pPr>
      <w:r>
        <w:t xml:space="preserve">Add to this the fact that the public authorities in question have been aware of the danger for several decades, follow year after year the scientific developments on the issue, participate year after year in the work of an international convention specially dedicated to the problem.  </w:t>
      </w:r>
    </w:p>
    <w:p w14:paraId="40A78ABE" w14:textId="77777777" w:rsidR="004A3CD3" w:rsidRDefault="006C0598">
      <w:pPr>
        <w:spacing w:after="233"/>
        <w:ind w:left="1015" w:right="794"/>
      </w:pPr>
      <w:r>
        <w:t xml:space="preserve">What can be expected of a normally prudent and diligent authority that not only knows the danger that threatens its population, and the world's population, but also knows the measures to be taken to avoid or limit it? It is self-evident that such an authority is expected to take the measures in question. This is irrespective of whether or not such measures have been enshrined in normative texts. </w:t>
      </w:r>
    </w:p>
    <w:p w14:paraId="7682607B" w14:textId="77777777" w:rsidR="004A3CD3" w:rsidRDefault="006C0598">
      <w:pPr>
        <w:spacing w:after="267"/>
        <w:ind w:left="1015" w:right="794"/>
      </w:pPr>
      <w:r>
        <w:t xml:space="preserve">Articles 2 and 8 of the ECHR are to the same effect. These provisions require the authorities, when faced with a serious threat of a violation of the rights enshrined in these provisions, to take appropriate measures to protect those rights.  </w:t>
      </w:r>
    </w:p>
    <w:p w14:paraId="02BC3723" w14:textId="77777777" w:rsidR="004A3CD3" w:rsidRDefault="006C0598">
      <w:pPr>
        <w:numPr>
          <w:ilvl w:val="0"/>
          <w:numId w:val="32"/>
        </w:numPr>
        <w:spacing w:after="264"/>
        <w:ind w:right="794" w:hanging="566"/>
      </w:pPr>
      <w:r>
        <w:t xml:space="preserve">The difficulty lies in the question of </w:t>
      </w:r>
      <w:r>
        <w:rPr>
          <w:b/>
        </w:rPr>
        <w:t xml:space="preserve">what kind of measures are </w:t>
      </w:r>
      <w:r>
        <w:t xml:space="preserve">required with regard to the Belgian authorities. </w:t>
      </w:r>
    </w:p>
    <w:p w14:paraId="099BF549" w14:textId="77777777" w:rsidR="004A3CD3" w:rsidRDefault="006C0598">
      <w:pPr>
        <w:numPr>
          <w:ilvl w:val="0"/>
          <w:numId w:val="32"/>
        </w:numPr>
        <w:spacing w:after="146" w:line="248" w:lineRule="auto"/>
        <w:ind w:right="794" w:hanging="566"/>
      </w:pPr>
      <w:r>
        <w:t xml:space="preserve">A number of preliminary observations must be made with regard to the specific nature of the climate problem:  </w:t>
      </w:r>
    </w:p>
    <w:p w14:paraId="3F1DB482" w14:textId="77777777" w:rsidR="004A3CD3" w:rsidRDefault="006C0598">
      <w:pPr>
        <w:numPr>
          <w:ilvl w:val="1"/>
          <w:numId w:val="32"/>
        </w:numPr>
        <w:spacing w:after="27"/>
        <w:ind w:right="794" w:hanging="360"/>
      </w:pPr>
      <w:r>
        <w:t xml:space="preserve">Climate science is the only valid reference. The </w:t>
      </w:r>
      <w:r>
        <w:rPr>
          <w:b/>
        </w:rPr>
        <w:t>best available science</w:t>
      </w:r>
      <w:r>
        <w:t xml:space="preserve">, which summarizes the entirety of the world's knowledge on the subject, is contained in the </w:t>
      </w:r>
      <w:r>
        <w:rPr>
          <w:b/>
        </w:rPr>
        <w:t xml:space="preserve">IPCC </w:t>
      </w:r>
      <w:r>
        <w:t xml:space="preserve">reports. This IPCC science is not in dispute.  </w:t>
      </w:r>
    </w:p>
    <w:p w14:paraId="71A2B887" w14:textId="77777777" w:rsidR="004A3CD3" w:rsidRDefault="006C0598">
      <w:pPr>
        <w:numPr>
          <w:ilvl w:val="1"/>
          <w:numId w:val="32"/>
        </w:numPr>
        <w:spacing w:after="25"/>
        <w:ind w:right="794" w:hanging="360"/>
      </w:pPr>
      <w:r>
        <w:t xml:space="preserve">There is an </w:t>
      </w:r>
      <w:r>
        <w:rPr>
          <w:b/>
        </w:rPr>
        <w:t xml:space="preserve">international diplomatic consensus </w:t>
      </w:r>
      <w:r>
        <w:t xml:space="preserve">on the climate science contained in the </w:t>
      </w:r>
      <w:r>
        <w:rPr>
          <w:b/>
        </w:rPr>
        <w:t xml:space="preserve">IPCC </w:t>
      </w:r>
      <w:r>
        <w:t xml:space="preserve">reports. The Parties to the UNFCCC, including Belgium, are actively involved in the preparation and approval of the IPCC reports, with governments present throughout the process. The IPCC science is therefore the </w:t>
      </w:r>
      <w:r>
        <w:rPr>
          <w:b/>
        </w:rPr>
        <w:t xml:space="preserve">reference for all </w:t>
      </w:r>
      <w:r>
        <w:t xml:space="preserve">climate policy </w:t>
      </w:r>
      <w:r>
        <w:rPr>
          <w:b/>
        </w:rPr>
        <w:t>makers.</w:t>
      </w:r>
      <w:r>
        <w:t xml:space="preserve">  </w:t>
      </w:r>
    </w:p>
    <w:p w14:paraId="0A8E17BF" w14:textId="77777777" w:rsidR="004A3CD3" w:rsidRDefault="006C0598">
      <w:pPr>
        <w:numPr>
          <w:ilvl w:val="1"/>
          <w:numId w:val="32"/>
        </w:numPr>
        <w:spacing w:after="27"/>
        <w:ind w:right="794" w:hanging="360"/>
      </w:pPr>
      <w:r>
        <w:t xml:space="preserve">Given the political context in which they are set, the IPCC reports are extremely moderate in their conclusions and recommendations. Nevertheless, they are very alarming. </w:t>
      </w:r>
    </w:p>
    <w:p w14:paraId="0831A1E1" w14:textId="77777777" w:rsidR="004A3CD3" w:rsidRDefault="006C0598">
      <w:pPr>
        <w:numPr>
          <w:ilvl w:val="1"/>
          <w:numId w:val="32"/>
        </w:numPr>
        <w:ind w:right="794" w:hanging="360"/>
      </w:pPr>
      <w:r>
        <w:lastRenderedPageBreak/>
        <w:t xml:space="preserve">Two types of measures can be distinguished: mitigation measures (aiming at releasing less GHGs into the atmosphere) and adaptation measures (aiming at facing the consequences of global warming). Only mitigation measures are likely to achieve the objective of limiting the global warming threshold. Only the latter are therefore worth considering.   </w:t>
      </w:r>
    </w:p>
    <w:p w14:paraId="731BDDA5" w14:textId="77777777" w:rsidR="004A3CD3" w:rsidRDefault="006C0598">
      <w:pPr>
        <w:numPr>
          <w:ilvl w:val="0"/>
          <w:numId w:val="32"/>
        </w:numPr>
        <w:spacing w:after="232" w:line="248" w:lineRule="auto"/>
        <w:ind w:right="794" w:hanging="566"/>
      </w:pPr>
      <w:r>
        <w:t xml:space="preserve">Specifically, it is a question of determining </w:t>
      </w:r>
      <w:r>
        <w:rPr>
          <w:b/>
        </w:rPr>
        <w:t xml:space="preserve">the GHG emissions reduction trajectory </w:t>
      </w:r>
      <w:r>
        <w:t xml:space="preserve">that can be demanded of a normally prudent and diligent authority faced with the grave danger of global warming, and which knows that every additional emission into the atmosphere brings us closer to that danger.  </w:t>
      </w:r>
    </w:p>
    <w:p w14:paraId="0F1309E4" w14:textId="77777777" w:rsidR="004A3CD3" w:rsidRDefault="006C0598">
      <w:pPr>
        <w:spacing w:after="267" w:line="248" w:lineRule="auto"/>
        <w:ind w:left="1040" w:right="791" w:hanging="10"/>
      </w:pPr>
      <w:r>
        <w:t xml:space="preserve">We explained the crucial importance of the GHG emissions reduction pathway above. So what GHG emissions reduction pathway is required of the Belgian authorities?  </w:t>
      </w:r>
    </w:p>
    <w:p w14:paraId="686F288C" w14:textId="77777777" w:rsidR="004A3CD3" w:rsidRDefault="006C0598">
      <w:pPr>
        <w:numPr>
          <w:ilvl w:val="0"/>
          <w:numId w:val="32"/>
        </w:numPr>
        <w:spacing w:after="267"/>
        <w:ind w:right="794" w:hanging="566"/>
      </w:pPr>
      <w:r>
        <w:t xml:space="preserve">We are looking at the 2020 and 2030 levels of reduction in succession. Both are very important in this case. One is about the past and finding </w:t>
      </w:r>
      <w:r>
        <w:rPr>
          <w:b/>
        </w:rPr>
        <w:t>fault</w:t>
      </w:r>
      <w:r>
        <w:t xml:space="preserve">; the other is about the future and </w:t>
      </w:r>
      <w:r>
        <w:rPr>
          <w:b/>
        </w:rPr>
        <w:t>preventing future violations.</w:t>
      </w:r>
      <w:r>
        <w:t xml:space="preserve">  </w:t>
      </w:r>
    </w:p>
    <w:p w14:paraId="0B736FF5" w14:textId="77777777" w:rsidR="004A3CD3" w:rsidRDefault="006C0598">
      <w:pPr>
        <w:numPr>
          <w:ilvl w:val="0"/>
          <w:numId w:val="32"/>
        </w:numPr>
        <w:ind w:right="794" w:hanging="566"/>
      </w:pPr>
      <w:r>
        <w:t xml:space="preserve">Let us emphasize once again that any emission, emitted from any territory, contributes to the global concentration of GHG in the atmosphere. Each country must therefore do its part, by taking the necessary measures to reduce its emissions. Most recently, the Committee on the Rights of the Child under the UN Convention on the Rights of the Child confirmed this individual responsibility of each State in the following words: </w:t>
      </w:r>
      <w:r>
        <w:rPr>
          <w:i/>
        </w:rPr>
        <w:t>"In accordance with the principle of common but differentiated responsibility (...), the Committee establishes that the collective nature of the cause of climate change does not absolve a State Party from the individual responsibility that arises from the harm that emissions from its territory may cause to children, wherever they are located</w:t>
      </w:r>
      <w:r>
        <w:t xml:space="preserve">.  </w:t>
      </w:r>
      <w:r>
        <w:rPr>
          <w:sz w:val="20"/>
          <w:vertAlign w:val="superscript"/>
        </w:rPr>
        <w:footnoteReference w:id="67"/>
      </w:r>
    </w:p>
    <w:p w14:paraId="669ACF76" w14:textId="77777777" w:rsidR="00E933CB" w:rsidRDefault="00825B93">
      <w:pPr>
        <w:spacing w:after="98" w:line="259" w:lineRule="auto"/>
        <w:ind w:left="1030" w:right="0" w:firstLine="0"/>
        <w:jc w:val="left"/>
      </w:pPr>
      <w:r>
        <w:t xml:space="preserve"> </w:t>
      </w:r>
    </w:p>
    <w:p w14:paraId="5C15CA51" w14:textId="77777777" w:rsidR="004A3CD3" w:rsidRDefault="006C0598">
      <w:pPr>
        <w:spacing w:after="264" w:line="248" w:lineRule="auto"/>
        <w:ind w:left="1040" w:right="787" w:hanging="10"/>
        <w:jc w:val="left"/>
      </w:pPr>
      <w:r>
        <w:rPr>
          <w:b/>
          <w:i/>
          <w:u w:val="single" w:color="000000"/>
        </w:rPr>
        <w:t xml:space="preserve">For the past: 2020 </w:t>
      </w:r>
    </w:p>
    <w:p w14:paraId="4AFF6735" w14:textId="77777777" w:rsidR="004A3CD3" w:rsidRDefault="006C0598">
      <w:pPr>
        <w:numPr>
          <w:ilvl w:val="0"/>
          <w:numId w:val="32"/>
        </w:numPr>
        <w:spacing w:after="267"/>
        <w:ind w:right="794" w:hanging="566"/>
      </w:pPr>
      <w:r>
        <w:t xml:space="preserve">As already mentioned in the background paper, the IPCC suggested as early as 2007 that </w:t>
      </w:r>
      <w:r>
        <w:rPr>
          <w:b/>
        </w:rPr>
        <w:t xml:space="preserve">Annex I countries should </w:t>
      </w:r>
      <w:r>
        <w:t xml:space="preserve">collectively reduce their GHG emissions </w:t>
      </w:r>
      <w:r>
        <w:rPr>
          <w:b/>
        </w:rPr>
        <w:t xml:space="preserve">by at least 25% to 40% </w:t>
      </w:r>
      <w:r>
        <w:t xml:space="preserve">by </w:t>
      </w:r>
      <w:r>
        <w:rPr>
          <w:b/>
        </w:rPr>
        <w:t>2020</w:t>
      </w:r>
      <w:r>
        <w:t xml:space="preserve">. This objective was aimed at not exceeding the 2°C threshold. </w:t>
      </w:r>
    </w:p>
    <w:p w14:paraId="432737AB" w14:textId="77777777" w:rsidR="004A3CD3" w:rsidRDefault="006C0598">
      <w:pPr>
        <w:numPr>
          <w:ilvl w:val="0"/>
          <w:numId w:val="32"/>
        </w:numPr>
        <w:spacing w:after="24"/>
        <w:ind w:right="794" w:hanging="566"/>
      </w:pPr>
      <w:r>
        <w:t xml:space="preserve">The IPCC statements contain a range. Three factual data impact the positioning of Belgium in the range for 2020: </w:t>
      </w:r>
    </w:p>
    <w:p w14:paraId="528F65AD" w14:textId="77777777" w:rsidR="004A3CD3" w:rsidRDefault="006C0598">
      <w:pPr>
        <w:numPr>
          <w:ilvl w:val="1"/>
          <w:numId w:val="32"/>
        </w:numPr>
        <w:spacing w:after="23"/>
        <w:ind w:right="794" w:hanging="360"/>
      </w:pPr>
      <w:r>
        <w:t xml:space="preserve">its status as an Annex I </w:t>
      </w:r>
      <w:r>
        <w:rPr>
          <w:b/>
        </w:rPr>
        <w:t xml:space="preserve">and II </w:t>
      </w:r>
      <w:r>
        <w:t xml:space="preserve">country, </w:t>
      </w:r>
    </w:p>
    <w:p w14:paraId="623C6D6B" w14:textId="77777777" w:rsidR="004A3CD3" w:rsidRDefault="006C0598">
      <w:pPr>
        <w:numPr>
          <w:ilvl w:val="1"/>
          <w:numId w:val="32"/>
        </w:numPr>
        <w:spacing w:after="27"/>
        <w:ind w:right="794" w:hanging="360"/>
      </w:pPr>
      <w:r>
        <w:t xml:space="preserve">The 2007 IPCC statement assumed that emissions would peak between 2000 (25%) and 2015 (40%) but this peak was not reached in 2000 and not in 2015 either and the whole world community knew it, Belgium included; </w:t>
      </w:r>
    </w:p>
    <w:p w14:paraId="433E9E54" w14:textId="77777777" w:rsidR="004A3CD3" w:rsidRDefault="006C0598">
      <w:pPr>
        <w:numPr>
          <w:ilvl w:val="1"/>
          <w:numId w:val="32"/>
        </w:numPr>
        <w:ind w:right="794" w:hanging="360"/>
      </w:pPr>
      <w:r>
        <w:t xml:space="preserve">the statement concerned a 2°C limit, which </w:t>
      </w:r>
      <w:r>
        <w:rPr>
          <w:b/>
        </w:rPr>
        <w:t xml:space="preserve">as early as 2009 </w:t>
      </w:r>
      <w:r>
        <w:t xml:space="preserve">moved </w:t>
      </w:r>
      <w:r>
        <w:rPr>
          <w:b/>
        </w:rPr>
        <w:t xml:space="preserve">towards 1.5°C, </w:t>
      </w:r>
      <w:r>
        <w:t xml:space="preserve">to be formally anchored at this level in 2015 (Paris Agreement). </w:t>
      </w:r>
    </w:p>
    <w:p w14:paraId="544CCB0A" w14:textId="77777777" w:rsidR="004A3CD3" w:rsidRDefault="006C0598">
      <w:pPr>
        <w:ind w:left="1015" w:right="794"/>
      </w:pPr>
      <w:r>
        <w:t xml:space="preserve">All three of these data converge to place Belgium's share towards a reduction of </w:t>
      </w:r>
      <w:r>
        <w:rPr>
          <w:b/>
        </w:rPr>
        <w:t xml:space="preserve">40% </w:t>
      </w:r>
      <w:r>
        <w:t xml:space="preserve">and at </w:t>
      </w:r>
      <w:r>
        <w:rPr>
          <w:b/>
        </w:rPr>
        <w:t>least 30°C</w:t>
      </w:r>
      <w:r>
        <w:t xml:space="preserve">. We develop below. </w:t>
      </w:r>
    </w:p>
    <w:p w14:paraId="21162643" w14:textId="77777777" w:rsidR="004A3CD3" w:rsidRDefault="006C0598">
      <w:pPr>
        <w:numPr>
          <w:ilvl w:val="0"/>
          <w:numId w:val="32"/>
        </w:numPr>
        <w:ind w:right="794" w:hanging="566"/>
      </w:pPr>
      <w:r>
        <w:lastRenderedPageBreak/>
        <w:t xml:space="preserve">The UNFCCC enshrines the principle of common but differentiated responsibilities. Each country must therefore act according to its capabilities, in accordance with its social and economic conditions, as well as the historical responsibility it bears.  </w:t>
      </w:r>
    </w:p>
    <w:p w14:paraId="69C693D5" w14:textId="77777777" w:rsidR="004A3CD3" w:rsidRDefault="006C0598">
      <w:pPr>
        <w:ind w:left="1015" w:right="794"/>
      </w:pPr>
      <w:r>
        <w:t xml:space="preserve">In this respect, Belgium, as an Annex I Party which combines this status with that of an Annex II country, is among the richest countries in the world community. In addition to its historical responsibility for the accumulation of CO emissions in the </w:t>
      </w:r>
      <w:r>
        <w:rPr>
          <w:vertAlign w:val="subscript"/>
        </w:rPr>
        <w:t>2</w:t>
      </w:r>
      <w:r>
        <w:t xml:space="preserve">atmosphere, it therefore bears a particular responsibility to lead and set an example in the fight against global warming.  </w:t>
      </w:r>
    </w:p>
    <w:p w14:paraId="022234C4" w14:textId="77777777" w:rsidR="004A3CD3" w:rsidRDefault="006C0598">
      <w:pPr>
        <w:spacing w:after="267"/>
        <w:ind w:left="1015" w:right="794"/>
      </w:pPr>
      <w:r>
        <w:t xml:space="preserve">For these reasons, not only was the target of </w:t>
      </w:r>
      <w:r>
        <w:rPr>
          <w:b/>
        </w:rPr>
        <w:t xml:space="preserve">at least 25% to 40% by 2020 </w:t>
      </w:r>
      <w:r>
        <w:t xml:space="preserve">individually binding on Belgium, but also, by virtue of the principle of common but differentiated responsibilities, Belgium's obligations were at the top end of the range, i.e. </w:t>
      </w:r>
      <w:r>
        <w:rPr>
          <w:b/>
        </w:rPr>
        <w:t xml:space="preserve">40% </w:t>
      </w:r>
      <w:r>
        <w:t xml:space="preserve">rather than the strict minimum of 25% </w:t>
      </w:r>
      <w:r>
        <w:rPr>
          <w:b/>
        </w:rPr>
        <w:t>by 2020</w:t>
      </w:r>
      <w:r>
        <w:t xml:space="preserve">.  </w:t>
      </w:r>
    </w:p>
    <w:p w14:paraId="754EE345" w14:textId="77777777" w:rsidR="004A3CD3" w:rsidRDefault="006C0598">
      <w:pPr>
        <w:numPr>
          <w:ilvl w:val="0"/>
          <w:numId w:val="32"/>
        </w:numPr>
        <w:spacing w:after="267"/>
        <w:ind w:right="794" w:hanging="566"/>
      </w:pPr>
      <w:r>
        <w:t xml:space="preserve">Furthermore, the target of a minimum of 25% to 40% by 2020 for Annex I countries was set by the IPCC on the premise that the peak of GHG emissions would be reached between 2000 and 2015. If peak emissions were reached in 2000, a 25% emission reduction could more easily be considered. Conversely, if peak emissions were reached in 2015, an emission reduction of 40% would be required.  </w:t>
      </w:r>
      <w:r>
        <w:rPr>
          <w:sz w:val="20"/>
          <w:vertAlign w:val="superscript"/>
        </w:rPr>
        <w:footnoteReference w:id="68"/>
      </w:r>
      <w:r>
        <w:t xml:space="preserve">However, contrary to what was projected at the time, the peak in GHG emissions has not yet been reached. It is still to come. In view of this, it must be understood that even a 40% reduction from 2015 would not have been enough to "do our part" to avoid dangerous warming - estimated at 2°C at the time. </w:t>
      </w:r>
    </w:p>
    <w:p w14:paraId="6E71C461" w14:textId="77777777" w:rsidR="004A3CD3" w:rsidRDefault="006C0598">
      <w:pPr>
        <w:numPr>
          <w:ilvl w:val="0"/>
          <w:numId w:val="32"/>
        </w:numPr>
        <w:spacing w:after="267"/>
        <w:ind w:right="794" w:hanging="566"/>
      </w:pPr>
      <w:r>
        <w:t xml:space="preserve">Finally, should we recall that the objective of at least 25% to 40% by 2020 was based on avoiding a warming of 2°C? However, it has been pointed out on numerous occasions that </w:t>
      </w:r>
      <w:r>
        <w:rPr>
          <w:b/>
        </w:rPr>
        <w:t>since 2009</w:t>
      </w:r>
      <w:r>
        <w:t xml:space="preserve">, year after year, from COP to COP, this 2°C threshold has been progressively abandoned in order to </w:t>
      </w:r>
      <w:r>
        <w:rPr>
          <w:b/>
        </w:rPr>
        <w:t xml:space="preserve">move towards 1.5°C. </w:t>
      </w:r>
      <w:r>
        <w:t xml:space="preserve">The international consensus on this point is explicitly </w:t>
      </w:r>
      <w:r>
        <w:rPr>
          <w:b/>
        </w:rPr>
        <w:t xml:space="preserve">formalised </w:t>
      </w:r>
      <w:r>
        <w:t xml:space="preserve">in the </w:t>
      </w:r>
      <w:r>
        <w:rPr>
          <w:b/>
        </w:rPr>
        <w:t xml:space="preserve">2015 </w:t>
      </w:r>
      <w:r>
        <w:t xml:space="preserve">Paris Agreement. Consequently, it goes without saying that the target of at least 25% to 40% for </w:t>
      </w:r>
      <w:r>
        <w:rPr>
          <w:b/>
        </w:rPr>
        <w:t xml:space="preserve">2020 </w:t>
      </w:r>
      <w:r>
        <w:t xml:space="preserve">was itself no longer adequate in view of the shift of the cursor towards a 1.5°C threshold. Respondents were well aware of this. </w:t>
      </w:r>
    </w:p>
    <w:p w14:paraId="1D87A6D1" w14:textId="77777777" w:rsidR="004A3CD3" w:rsidRDefault="006C0598">
      <w:pPr>
        <w:numPr>
          <w:ilvl w:val="0"/>
          <w:numId w:val="32"/>
        </w:numPr>
        <w:spacing w:line="248" w:lineRule="auto"/>
        <w:ind w:right="794" w:hanging="566"/>
      </w:pPr>
      <w:r>
        <w:t xml:space="preserve">It must therefore be concluded that in this range of 25% to 40% by 2020, in view of all the facts of the case, which were fully known to the respondents, the standard of conduct imposed by Articles 2 and 8 of the ECHR and Article 1382 of the Civil Code certainly obliged them to be on the side of the 40% reduction by 2020, and certainly not at 25%. </w:t>
      </w:r>
    </w:p>
    <w:p w14:paraId="781750DA" w14:textId="77777777" w:rsidR="004A3CD3" w:rsidRDefault="006C0598">
      <w:pPr>
        <w:spacing w:after="264"/>
        <w:ind w:left="1015" w:right="794"/>
      </w:pPr>
      <w:r>
        <w:t xml:space="preserve">If the authorities were to be given some leeway, the behavioural standard must in any case be interpreted as meaning that a reduction of at </w:t>
      </w:r>
      <w:r>
        <w:rPr>
          <w:b/>
        </w:rPr>
        <w:t xml:space="preserve">least 30% </w:t>
      </w:r>
      <w:r>
        <w:t xml:space="preserve">in GHG emissions by 2020 was a bare minimum.  </w:t>
      </w:r>
    </w:p>
    <w:p w14:paraId="3185AC7D" w14:textId="77777777" w:rsidR="004A3CD3" w:rsidRDefault="006C0598">
      <w:pPr>
        <w:numPr>
          <w:ilvl w:val="0"/>
          <w:numId w:val="32"/>
        </w:numPr>
        <w:spacing w:after="132"/>
        <w:ind w:right="794" w:hanging="566"/>
      </w:pPr>
      <w:r>
        <w:t>This threshold was mentioned by the European Commission in a 2007 Communication</w:t>
      </w:r>
      <w:r>
        <w:rPr>
          <w:sz w:val="20"/>
          <w:vertAlign w:val="superscript"/>
        </w:rPr>
        <w:footnoteReference w:id="69"/>
      </w:r>
      <w:r>
        <w:t>, which forms the basis of European legislation for 2020, and which has a telling title: "</w:t>
      </w:r>
      <w:r>
        <w:rPr>
          <w:i/>
        </w:rPr>
        <w:t>Limiting Global Warming to 2 degrees Celsius. A roadmap to 2020 and beyond</w:t>
      </w:r>
      <w:r>
        <w:t>". It invokes "</w:t>
      </w:r>
      <w:r>
        <w:rPr>
          <w:i/>
        </w:rPr>
        <w:t>irrefutable scientific facts</w:t>
      </w:r>
      <w:r>
        <w:t xml:space="preserve">" </w:t>
      </w:r>
      <w:r>
        <w:rPr>
          <w:sz w:val="20"/>
          <w:vertAlign w:val="superscript"/>
        </w:rPr>
        <w:footnoteReference w:id="70"/>
      </w:r>
      <w:r>
        <w:t xml:space="preserve">and states the following: </w:t>
      </w:r>
    </w:p>
    <w:p w14:paraId="70370376" w14:textId="77777777" w:rsidR="004A3CD3" w:rsidRDefault="006C0598">
      <w:pPr>
        <w:spacing w:after="360"/>
        <w:ind w:left="1591" w:right="792" w:hanging="10"/>
      </w:pPr>
      <w:r>
        <w:rPr>
          <w:i/>
        </w:rPr>
        <w:t xml:space="preserve"> "This Communication proposes that the EU should set a target in the international negotiations to reduce greenhouse gas (GHG) emissions from developed countries by </w:t>
      </w:r>
      <w:r>
        <w:rPr>
          <w:b/>
          <w:i/>
        </w:rPr>
        <w:lastRenderedPageBreak/>
        <w:t>30% (compared to 1990 levels) by 2020</w:t>
      </w:r>
      <w:r>
        <w:rPr>
          <w:i/>
        </w:rPr>
        <w:t xml:space="preserve">. This effort is </w:t>
      </w:r>
      <w:r>
        <w:rPr>
          <w:b/>
          <w:i/>
        </w:rPr>
        <w:t>necessary to limit the increase in global temperatures to 2 degrees Celsius</w:t>
      </w:r>
      <w:r>
        <w:t>"</w:t>
      </w:r>
      <w:r>
        <w:rPr>
          <w:i/>
        </w:rPr>
        <w:t xml:space="preserve"> </w:t>
      </w:r>
      <w:r>
        <w:rPr>
          <w:sz w:val="20"/>
          <w:vertAlign w:val="superscript"/>
        </w:rPr>
        <w:footnoteReference w:id="71"/>
      </w:r>
      <w:r>
        <w:t xml:space="preserve">(emphasis added).  </w:t>
      </w:r>
    </w:p>
    <w:p w14:paraId="098CADB9" w14:textId="77777777" w:rsidR="004A3CD3" w:rsidRDefault="006C0598">
      <w:pPr>
        <w:pBdr>
          <w:top w:val="single" w:sz="6" w:space="0" w:color="000000"/>
          <w:left w:val="single" w:sz="6" w:space="0" w:color="000000"/>
          <w:bottom w:val="single" w:sz="6" w:space="0" w:color="000000"/>
          <w:right w:val="single" w:sz="6" w:space="0" w:color="000000"/>
        </w:pBdr>
        <w:spacing w:after="118" w:line="239" w:lineRule="auto"/>
        <w:ind w:left="1125" w:right="883" w:firstLine="0"/>
      </w:pPr>
      <w:r>
        <w:t xml:space="preserve">On the basis of the data in this case, the behavioural standard required the respondents to achieve or cause to be achieved a reduction in GHG emissions of at </w:t>
      </w:r>
      <w:r>
        <w:rPr>
          <w:b/>
        </w:rPr>
        <w:t xml:space="preserve">least 30% (from 1990 levels) by 2020.  </w:t>
      </w:r>
    </w:p>
    <w:p w14:paraId="74F13C64" w14:textId="77777777" w:rsidR="004A3CD3" w:rsidRDefault="006C0598">
      <w:pPr>
        <w:pBdr>
          <w:top w:val="single" w:sz="6" w:space="0" w:color="000000"/>
          <w:left w:val="single" w:sz="6" w:space="0" w:color="000000"/>
          <w:bottom w:val="single" w:sz="6" w:space="0" w:color="000000"/>
          <w:right w:val="single" w:sz="6" w:space="0" w:color="000000"/>
        </w:pBdr>
        <w:spacing w:after="120" w:line="240" w:lineRule="auto"/>
        <w:ind w:left="1135" w:right="883" w:hanging="10"/>
      </w:pPr>
      <w:r>
        <w:t xml:space="preserve">This 30% threshold is indeed a </w:t>
      </w:r>
      <w:r>
        <w:rPr>
          <w:i/>
        </w:rPr>
        <w:t xml:space="preserve">minimum minimorum </w:t>
      </w:r>
      <w:r>
        <w:t xml:space="preserve">for Belgium to "do its part" in the measures to be taken to avoid dangerous global warming. </w:t>
      </w:r>
    </w:p>
    <w:p w14:paraId="65A6AC48" w14:textId="77777777" w:rsidR="004A3CD3" w:rsidRDefault="006C0598">
      <w:pPr>
        <w:pBdr>
          <w:top w:val="single" w:sz="6" w:space="0" w:color="000000"/>
          <w:left w:val="single" w:sz="6" w:space="0" w:color="000000"/>
          <w:bottom w:val="single" w:sz="6" w:space="0" w:color="000000"/>
          <w:right w:val="single" w:sz="6" w:space="0" w:color="000000"/>
        </w:pBdr>
        <w:spacing w:after="304" w:line="240" w:lineRule="auto"/>
        <w:ind w:left="1135" w:right="883" w:hanging="10"/>
      </w:pPr>
      <w:r>
        <w:t xml:space="preserve">Given the impact of the reduction trajectory on the volume of GHGs emitted, this reduction of at least 30% should be achieved by following at least a </w:t>
      </w:r>
      <w:r>
        <w:rPr>
          <w:b/>
        </w:rPr>
        <w:t>linear trajectory, if not a concave one, to the exclusion of a convex one</w:t>
      </w:r>
      <w:r>
        <w:t xml:space="preserve">. </w:t>
      </w:r>
    </w:p>
    <w:p w14:paraId="462C2BFC" w14:textId="77777777" w:rsidR="00E933CB" w:rsidRDefault="00825B93">
      <w:pPr>
        <w:spacing w:after="98" w:line="259" w:lineRule="auto"/>
        <w:ind w:left="1030" w:right="0" w:firstLine="0"/>
        <w:jc w:val="left"/>
      </w:pPr>
      <w:r>
        <w:t xml:space="preserve">  </w:t>
      </w:r>
    </w:p>
    <w:p w14:paraId="27A0369E" w14:textId="77777777" w:rsidR="004A3CD3" w:rsidRDefault="006C0598">
      <w:pPr>
        <w:spacing w:after="264" w:line="248" w:lineRule="auto"/>
        <w:ind w:left="1040" w:right="787" w:hanging="10"/>
        <w:jc w:val="left"/>
      </w:pPr>
      <w:r>
        <w:rPr>
          <w:b/>
          <w:i/>
          <w:u w:val="single" w:color="000000"/>
        </w:rPr>
        <w:t xml:space="preserve">For the future: 2030, with a view to net zero by 2050 </w:t>
      </w:r>
    </w:p>
    <w:p w14:paraId="485C1D98" w14:textId="77777777" w:rsidR="004A3CD3" w:rsidRDefault="006C0598">
      <w:pPr>
        <w:numPr>
          <w:ilvl w:val="0"/>
          <w:numId w:val="33"/>
        </w:numPr>
        <w:spacing w:line="248" w:lineRule="auto"/>
        <w:ind w:right="791" w:hanging="566"/>
      </w:pPr>
      <w:r>
        <w:t>The Paris Agreement, adopted on 12 December 2015 at COP-21 in Paris, enshrines in its Article 2.1a a rise in global average temperature "</w:t>
      </w:r>
      <w:r>
        <w:rPr>
          <w:i/>
        </w:rPr>
        <w:t>well below 2°C above pre-industrial levels</w:t>
      </w:r>
      <w:r>
        <w:t>" and preferably than "</w:t>
      </w:r>
      <w:r>
        <w:rPr>
          <w:i/>
        </w:rPr>
        <w:t>1.5°C above pre-industrial levels</w:t>
      </w:r>
      <w:r>
        <w:t xml:space="preserve">" as threshold limits to avoid dangerous global warming. </w:t>
      </w:r>
    </w:p>
    <w:p w14:paraId="10E83407" w14:textId="77777777" w:rsidR="004A3CD3" w:rsidRDefault="006C0598">
      <w:pPr>
        <w:spacing w:line="248" w:lineRule="auto"/>
        <w:ind w:left="1040" w:right="791" w:hanging="10"/>
      </w:pPr>
      <w:r>
        <w:t xml:space="preserve">In doing so, Article 2.1a of the Paris Agreement formally adheres to the abandonment of 2°C warming as an acceptable threshold limit, in favour of a lower threshold. As noted above, this shift has been underway since 2009. The revised threshold put forward since then is 1.5°C. </w:t>
      </w:r>
    </w:p>
    <w:p w14:paraId="3720A1EC" w14:textId="77777777" w:rsidR="004A3CD3" w:rsidRDefault="006C0598">
      <w:pPr>
        <w:spacing w:after="267"/>
        <w:ind w:left="1015" w:right="794"/>
      </w:pPr>
      <w:r>
        <w:t xml:space="preserve">These thresholds are established by science and adopted by the international political community, including Belgium. This is a factual fact that we mention as such. </w:t>
      </w:r>
    </w:p>
    <w:p w14:paraId="79F0A91B" w14:textId="77777777" w:rsidR="004A3CD3" w:rsidRDefault="006C0598">
      <w:pPr>
        <w:numPr>
          <w:ilvl w:val="0"/>
          <w:numId w:val="33"/>
        </w:numPr>
        <w:spacing w:after="262" w:line="248" w:lineRule="auto"/>
        <w:ind w:right="791" w:hanging="566"/>
      </w:pPr>
      <w:r>
        <w:t xml:space="preserve">The Paris Agreement abandoned the Annex I countries - other countries approach and reverted to a developed countries - non-developed countries approach. As a result, the IPCC has no longer put forward reduction targets for Annex I countries. It did, however, put forward global residual carbon budgets in </w:t>
      </w:r>
      <w:r>
        <w:rPr>
          <w:b/>
        </w:rPr>
        <w:t xml:space="preserve">2018 and 2021, </w:t>
      </w:r>
      <w:r>
        <w:t xml:space="preserve">which allow Parties to the UNFCCC and the Agreement to establish their share. </w:t>
      </w:r>
    </w:p>
    <w:p w14:paraId="209470DD" w14:textId="77777777" w:rsidR="004A3CD3" w:rsidRDefault="006C0598">
      <w:pPr>
        <w:numPr>
          <w:ilvl w:val="0"/>
          <w:numId w:val="33"/>
        </w:numPr>
        <w:spacing w:after="237"/>
        <w:ind w:right="791" w:hanging="566"/>
      </w:pPr>
      <w:r>
        <w:t xml:space="preserve">In its </w:t>
      </w:r>
      <w:r>
        <w:rPr>
          <w:b/>
        </w:rPr>
        <w:t xml:space="preserve">2018 </w:t>
      </w:r>
      <w:r>
        <w:t xml:space="preserve">Special Report </w:t>
      </w:r>
      <w:r>
        <w:rPr>
          <w:b/>
        </w:rPr>
        <w:t xml:space="preserve">(SR 1.5°C) </w:t>
      </w:r>
      <w:r>
        <w:rPr>
          <w:b/>
          <w:sz w:val="20"/>
          <w:vertAlign w:val="superscript"/>
        </w:rPr>
        <w:footnoteReference w:id="72"/>
      </w:r>
      <w:r>
        <w:t xml:space="preserve">, the </w:t>
      </w:r>
      <w:r>
        <w:rPr>
          <w:b/>
        </w:rPr>
        <w:t xml:space="preserve">IPCC </w:t>
      </w:r>
      <w:r>
        <w:t xml:space="preserve">establishes that the </w:t>
      </w:r>
      <w:r>
        <w:rPr>
          <w:b/>
        </w:rPr>
        <w:t xml:space="preserve">global residual carbon budget </w:t>
      </w:r>
      <w:r>
        <w:t>to meet the 1.5°C warming limit is 420-580 GtCO</w:t>
      </w:r>
      <w:r>
        <w:rPr>
          <w:vertAlign w:val="subscript"/>
        </w:rPr>
        <w:t>2</w:t>
      </w:r>
      <w:r>
        <w:rPr>
          <w:sz w:val="20"/>
          <w:vertAlign w:val="superscript"/>
        </w:rPr>
        <w:footnoteReference w:id="73"/>
      </w:r>
      <w:r>
        <w:t xml:space="preserve"> . One of the tables where the Special Report expresses this scientific fact is attached below (Figure 12). Note that the global residual carbon budget of </w:t>
      </w:r>
      <w:r>
        <w:rPr>
          <w:b/>
        </w:rPr>
        <w:t xml:space="preserve">580 GtCO </w:t>
      </w:r>
      <w:r>
        <w:rPr>
          <w:b/>
          <w:vertAlign w:val="subscript"/>
        </w:rPr>
        <w:t>2</w:t>
      </w:r>
      <w:r>
        <w:t xml:space="preserve">comes with the precision that it gives one chance in two of meeting the dangerous warming limit (percentile 50). The global residual carbon budget of </w:t>
      </w:r>
      <w:r>
        <w:rPr>
          <w:b/>
        </w:rPr>
        <w:t xml:space="preserve">420 GtCO </w:t>
      </w:r>
      <w:r>
        <w:rPr>
          <w:b/>
          <w:vertAlign w:val="subscript"/>
        </w:rPr>
        <w:t>2</w:t>
      </w:r>
      <w:r>
        <w:t xml:space="preserve">, gives two chances out of three to respect this limit (percentile 67). This implies that meeting the 580 GtCO carbon budget also </w:t>
      </w:r>
      <w:r>
        <w:rPr>
          <w:vertAlign w:val="subscript"/>
        </w:rPr>
        <w:t>2</w:t>
      </w:r>
      <w:r>
        <w:t>contains a one in two chance of exceeding the dangerous warming limit, and that meeting the 420 GtCO limit</w:t>
      </w:r>
      <w:r>
        <w:rPr>
          <w:vertAlign w:val="subscript"/>
        </w:rPr>
        <w:t>2</w:t>
      </w:r>
      <w:r>
        <w:t xml:space="preserve"> still contains a one in three chance of exceeding the dangerous warming limit. These reduction scenarios therefore still contain major risks of transgressing the dangerous global warming threshold, which threatens the survival of humanity and all life on the planet as we know it today. This suggests that the only residual carbon budget that can reasonably be considered is 420 GtCO </w:t>
      </w:r>
      <w:r>
        <w:rPr>
          <w:vertAlign w:val="subscript"/>
        </w:rPr>
        <w:t>2</w:t>
      </w:r>
      <w:r>
        <w:t xml:space="preserve">, which gives a two in three chance of being on the right side. </w:t>
      </w:r>
    </w:p>
    <w:p w14:paraId="79BA9218" w14:textId="77777777" w:rsidR="00E933CB" w:rsidRDefault="00825B93">
      <w:pPr>
        <w:spacing w:after="54" w:line="259" w:lineRule="auto"/>
        <w:ind w:left="747" w:right="0" w:firstLine="0"/>
        <w:jc w:val="left"/>
      </w:pPr>
      <w:r>
        <w:lastRenderedPageBreak/>
        <w:t xml:space="preserve">  </w:t>
      </w:r>
    </w:p>
    <w:p w14:paraId="05838B53" w14:textId="77777777" w:rsidR="00E933CB" w:rsidRDefault="00825B93">
      <w:pPr>
        <w:spacing w:after="29" w:line="259" w:lineRule="auto"/>
        <w:ind w:left="0" w:right="329" w:firstLine="0"/>
        <w:jc w:val="right"/>
      </w:pPr>
      <w:r>
        <w:rPr>
          <w:noProof/>
        </w:rPr>
        <w:drawing>
          <wp:inline distT="0" distB="0" distL="0" distR="0" wp14:anchorId="2948A6BD" wp14:editId="63316C56">
            <wp:extent cx="6209665" cy="5830316"/>
            <wp:effectExtent l="0" t="0" r="0" b="0"/>
            <wp:docPr id="8983" name="Picture 8983"/>
            <wp:cNvGraphicFramePr/>
            <a:graphic xmlns:a="http://schemas.openxmlformats.org/drawingml/2006/main">
              <a:graphicData uri="http://schemas.openxmlformats.org/drawingml/2006/picture">
                <pic:pic xmlns:pic="http://schemas.openxmlformats.org/drawingml/2006/picture">
                  <pic:nvPicPr>
                    <pic:cNvPr id="8983" name="Picture 8983"/>
                    <pic:cNvPicPr/>
                  </pic:nvPicPr>
                  <pic:blipFill>
                    <a:blip r:embed="rId30"/>
                    <a:stretch>
                      <a:fillRect/>
                    </a:stretch>
                  </pic:blipFill>
                  <pic:spPr>
                    <a:xfrm>
                      <a:off x="0" y="0"/>
                      <a:ext cx="6209665" cy="5830316"/>
                    </a:xfrm>
                    <a:prstGeom prst="rect">
                      <a:avLst/>
                    </a:prstGeom>
                  </pic:spPr>
                </pic:pic>
              </a:graphicData>
            </a:graphic>
          </wp:inline>
        </w:drawing>
      </w:r>
      <w:r>
        <w:t xml:space="preserve"> </w:t>
      </w:r>
    </w:p>
    <w:p w14:paraId="22849225" w14:textId="77777777" w:rsidR="004A3CD3" w:rsidRDefault="006C0598">
      <w:pPr>
        <w:pStyle w:val="Heading2"/>
        <w:ind w:left="1025"/>
      </w:pPr>
      <w:bookmarkStart w:id="12" w:name="_Toc179579"/>
      <w:r>
        <w:rPr>
          <w:i/>
        </w:rPr>
        <w:t xml:space="preserve">Figure 12. </w:t>
      </w:r>
      <w:r>
        <w:t>Overall residual carbon budgets as of 1</w:t>
      </w:r>
      <w:r>
        <w:rPr>
          <w:vertAlign w:val="superscript"/>
        </w:rPr>
        <w:t>er</w:t>
      </w:r>
      <w:r>
        <w:t xml:space="preserve">January 2018 </w:t>
      </w:r>
      <w:bookmarkEnd w:id="12"/>
    </w:p>
    <w:p w14:paraId="52E7689C" w14:textId="77777777" w:rsidR="004A3CD3" w:rsidRDefault="006C0598">
      <w:pPr>
        <w:spacing w:after="65"/>
        <w:ind w:left="1030" w:right="794" w:hanging="566"/>
      </w:pPr>
      <w:r>
        <w:t xml:space="preserve">105. Already now, the 2018 data for the overall residual carbon budget is outdated. Indeed, </w:t>
      </w:r>
      <w:r>
        <w:rPr>
          <w:b/>
        </w:rPr>
        <w:t>the AR6.</w:t>
      </w:r>
      <w:r>
        <w:t xml:space="preserve">I of August </w:t>
      </w:r>
      <w:r>
        <w:rPr>
          <w:b/>
        </w:rPr>
        <w:t xml:space="preserve">2021 </w:t>
      </w:r>
      <w:r>
        <w:t xml:space="preserve">has </w:t>
      </w:r>
      <w:r>
        <w:rPr>
          <w:b/>
        </w:rPr>
        <w:t xml:space="preserve">revised </w:t>
      </w:r>
      <w:r>
        <w:t>them downwards. This is shown in the following table (Figure 13). It appears that in order to have one chance out of two (50% chance of success) to respect the limit of dangerous warming, the global residual carbon budget of 580 GtCO</w:t>
      </w:r>
      <w:r>
        <w:rPr>
          <w:vertAlign w:val="subscript"/>
        </w:rPr>
        <w:t>2</w:t>
      </w:r>
      <w:r>
        <w:t xml:space="preserve"> has been </w:t>
      </w:r>
      <w:r>
        <w:rPr>
          <w:b/>
        </w:rPr>
        <w:t>revised to 500 GtCO</w:t>
      </w:r>
      <w:r>
        <w:rPr>
          <w:b/>
          <w:vertAlign w:val="subscript"/>
        </w:rPr>
        <w:t>2</w:t>
      </w:r>
      <w:r>
        <w:t xml:space="preserve"> . To have a two out of three chance of meeting the dangerous warming limit (67% chance of success), the global residual carbon budget of 420 GtCO </w:t>
      </w:r>
      <w:r>
        <w:rPr>
          <w:vertAlign w:val="subscript"/>
        </w:rPr>
        <w:t>2</w:t>
      </w:r>
      <w:r>
        <w:t xml:space="preserve">was </w:t>
      </w:r>
      <w:r>
        <w:rPr>
          <w:b/>
        </w:rPr>
        <w:t xml:space="preserve">lowered to 400 GtCO </w:t>
      </w:r>
      <w:r>
        <w:rPr>
          <w:b/>
          <w:vertAlign w:val="subscript"/>
        </w:rPr>
        <w:t>2</w:t>
      </w:r>
      <w:r>
        <w:t xml:space="preserve">.    </w:t>
      </w:r>
    </w:p>
    <w:p w14:paraId="12A51A57" w14:textId="77777777" w:rsidR="00E933CB" w:rsidRDefault="00825B93">
      <w:pPr>
        <w:spacing w:after="53" w:line="259" w:lineRule="auto"/>
        <w:ind w:left="0" w:right="362" w:firstLine="0"/>
        <w:jc w:val="right"/>
      </w:pPr>
      <w:r>
        <w:rPr>
          <w:noProof/>
        </w:rPr>
        <w:lastRenderedPageBreak/>
        <w:drawing>
          <wp:inline distT="0" distB="0" distL="0" distR="0" wp14:anchorId="7A160A9C" wp14:editId="3AA20E0A">
            <wp:extent cx="6098540" cy="5801360"/>
            <wp:effectExtent l="0" t="0" r="0" b="0"/>
            <wp:docPr id="9089" name="Picture 9089"/>
            <wp:cNvGraphicFramePr/>
            <a:graphic xmlns:a="http://schemas.openxmlformats.org/drawingml/2006/main">
              <a:graphicData uri="http://schemas.openxmlformats.org/drawingml/2006/picture">
                <pic:pic xmlns:pic="http://schemas.openxmlformats.org/drawingml/2006/picture">
                  <pic:nvPicPr>
                    <pic:cNvPr id="9089" name="Picture 9089"/>
                    <pic:cNvPicPr/>
                  </pic:nvPicPr>
                  <pic:blipFill>
                    <a:blip r:embed="rId31"/>
                    <a:stretch>
                      <a:fillRect/>
                    </a:stretch>
                  </pic:blipFill>
                  <pic:spPr>
                    <a:xfrm>
                      <a:off x="0" y="0"/>
                      <a:ext cx="6098540" cy="5801360"/>
                    </a:xfrm>
                    <a:prstGeom prst="rect">
                      <a:avLst/>
                    </a:prstGeom>
                  </pic:spPr>
                </pic:pic>
              </a:graphicData>
            </a:graphic>
          </wp:inline>
        </w:drawing>
      </w:r>
      <w:r>
        <w:t xml:space="preserve"> </w:t>
      </w:r>
    </w:p>
    <w:p w14:paraId="62F04422" w14:textId="77777777" w:rsidR="004A3CD3" w:rsidRDefault="006C0598">
      <w:pPr>
        <w:pStyle w:val="Heading2"/>
        <w:spacing w:after="255"/>
        <w:ind w:left="1025"/>
      </w:pPr>
      <w:bookmarkStart w:id="13" w:name="_Toc179580"/>
      <w:r>
        <w:rPr>
          <w:i/>
        </w:rPr>
        <w:t xml:space="preserve">Figure 13. </w:t>
      </w:r>
      <w:r>
        <w:t>Overall residual carbon budgets at the beginning of 2020</w:t>
      </w:r>
      <w:r>
        <w:rPr>
          <w:i/>
          <w:sz w:val="22"/>
        </w:rPr>
        <w:t xml:space="preserve">.  </w:t>
      </w:r>
      <w:bookmarkEnd w:id="13"/>
    </w:p>
    <w:p w14:paraId="3672C5F6" w14:textId="77777777" w:rsidR="004A3CD3" w:rsidRDefault="006C0598">
      <w:pPr>
        <w:numPr>
          <w:ilvl w:val="0"/>
          <w:numId w:val="34"/>
        </w:numPr>
        <w:spacing w:line="248" w:lineRule="auto"/>
        <w:ind w:right="794" w:hanging="566"/>
      </w:pPr>
      <w:r>
        <w:t>This residual global carbon budget is a common good for all humanity</w:t>
      </w:r>
      <w:r>
        <w:rPr>
          <w:sz w:val="20"/>
          <w:vertAlign w:val="superscript"/>
        </w:rPr>
        <w:footnoteReference w:id="74"/>
      </w:r>
      <w:r>
        <w:t xml:space="preserve">.  </w:t>
      </w:r>
    </w:p>
    <w:p w14:paraId="6C2140A3" w14:textId="77777777" w:rsidR="004A3CD3" w:rsidRDefault="006C0598">
      <w:pPr>
        <w:ind w:left="1015" w:right="794"/>
      </w:pPr>
      <w:r>
        <w:t xml:space="preserve">In order to respect the share of others, one must specify one's own. </w:t>
      </w:r>
    </w:p>
    <w:p w14:paraId="52B997FD" w14:textId="77777777" w:rsidR="004A3CD3" w:rsidRDefault="006C0598">
      <w:pPr>
        <w:spacing w:after="267"/>
        <w:ind w:left="1015" w:right="794"/>
      </w:pPr>
      <w:r>
        <w:t xml:space="preserve">Since the overall residual carbon budget is a figure, there is a way to do this sharing. In fact, any quantified data can be shared. The only requirement is to choose a distribution key, to justify the choice, and to communicate with total transparency in this regard so that the choice and its justification can be verified by others. </w:t>
      </w:r>
    </w:p>
    <w:p w14:paraId="3508989B" w14:textId="77777777" w:rsidR="004A3CD3" w:rsidRDefault="006C0598">
      <w:pPr>
        <w:numPr>
          <w:ilvl w:val="0"/>
          <w:numId w:val="34"/>
        </w:numPr>
        <w:spacing w:after="267"/>
        <w:ind w:right="794" w:hanging="566"/>
      </w:pPr>
      <w:r>
        <w:t xml:space="preserve">In order to establish Belgium's share, the conclusion is based on the data of the IPCC Special Report of </w:t>
      </w:r>
      <w:r>
        <w:rPr>
          <w:b/>
        </w:rPr>
        <w:t>2018</w:t>
      </w:r>
      <w:r>
        <w:t xml:space="preserve">, </w:t>
      </w:r>
      <w:r>
        <w:rPr>
          <w:b/>
        </w:rPr>
        <w:t xml:space="preserve">not </w:t>
      </w:r>
      <w:r>
        <w:t>the AR6.I of 2021</w:t>
      </w:r>
      <w:r>
        <w:rPr>
          <w:b/>
        </w:rPr>
        <w:t xml:space="preserve">. </w:t>
      </w:r>
      <w:r>
        <w:t xml:space="preserve">The sharing of the residual global carbon budget indicated therein was done by a group of experts working under the direction of Mr. Jean-Pascal van Ypersele, Professor of Climatology at UCLouvain and Vice-Chair of the IPCC from </w:t>
      </w:r>
      <w:r>
        <w:lastRenderedPageBreak/>
        <w:t xml:space="preserve">2008 to 2015. Their work is available in a scientific report dated May 2019, attached to the present request (Exhibit C.11). </w:t>
      </w:r>
    </w:p>
    <w:p w14:paraId="25D34807" w14:textId="77777777" w:rsidR="004A3CD3" w:rsidRDefault="006C0598">
      <w:pPr>
        <w:numPr>
          <w:ilvl w:val="0"/>
          <w:numId w:val="34"/>
        </w:numPr>
        <w:ind w:right="794" w:hanging="566"/>
      </w:pPr>
      <w:r>
        <w:t>Based on the global residual carbon budget of the IPCC Special Report 2018, "</w:t>
      </w:r>
      <w:r>
        <w:rPr>
          <w:i/>
        </w:rPr>
        <w:t>between 420 and 570 GtCO</w:t>
      </w:r>
      <w:r>
        <w:t xml:space="preserve"> </w:t>
      </w:r>
      <w:r>
        <w:rPr>
          <w:i/>
          <w:vertAlign w:val="subscript"/>
        </w:rPr>
        <w:t>2</w:t>
      </w:r>
      <w:r>
        <w:rPr>
          <w:sz w:val="20"/>
          <w:vertAlign w:val="superscript"/>
        </w:rPr>
        <w:footnoteReference w:id="75"/>
      </w:r>
      <w:r>
        <w:t xml:space="preserve">, this group of experts calculated the Belgian residual carbon budget by trying two allocation keys.  </w:t>
      </w:r>
    </w:p>
    <w:p w14:paraId="357F0697" w14:textId="77777777" w:rsidR="004A3CD3" w:rsidRDefault="006C0598">
      <w:pPr>
        <w:ind w:left="1015" w:right="794"/>
      </w:pPr>
      <w:r>
        <w:t xml:space="preserve">Let us look at the relevant passages in the report. </w:t>
      </w:r>
    </w:p>
    <w:p w14:paraId="652CA4B9" w14:textId="77777777" w:rsidR="004A3CD3" w:rsidRDefault="006C0598">
      <w:pPr>
        <w:spacing w:line="248" w:lineRule="auto"/>
        <w:ind w:left="1040" w:right="791" w:hanging="10"/>
      </w:pPr>
      <w:r>
        <w:t xml:space="preserve">Mr. van Ypersele's team first sought to divide the overall residual carbon budget in terms of </w:t>
      </w:r>
      <w:r>
        <w:rPr>
          <w:b/>
        </w:rPr>
        <w:t xml:space="preserve">inhabitants </w:t>
      </w:r>
      <w:r>
        <w:t>(Exhibit C.1, p. 120). We quote, "</w:t>
      </w:r>
      <w:r>
        <w:rPr>
          <w:i/>
        </w:rPr>
        <w:t>Given an equal split per capita (based on population), we obtain a residual budget of between 630 and 850 MtCO</w:t>
      </w:r>
      <w:r>
        <w:rPr>
          <w:i/>
          <w:vertAlign w:val="subscript"/>
        </w:rPr>
        <w:t xml:space="preserve">2 </w:t>
      </w:r>
      <w:r>
        <w:rPr>
          <w:i/>
        </w:rPr>
        <w:t xml:space="preserve">for Belgium as of 2018 (6 to 9 times our current </w:t>
      </w:r>
      <w:r>
        <w:rPr>
          <w:i/>
          <w:vertAlign w:val="subscript"/>
        </w:rPr>
        <w:t>2</w:t>
      </w:r>
      <w:r>
        <w:rPr>
          <w:i/>
        </w:rPr>
        <w:t xml:space="preserve">annual CO emissions level)." </w:t>
      </w:r>
      <w:r>
        <w:t xml:space="preserve">The budget obtained with this first distribution key, would have been 'eaten up in 2024, or even 2027, if nothing changes quickly. </w:t>
      </w:r>
    </w:p>
    <w:p w14:paraId="7CB82D30" w14:textId="77777777" w:rsidR="004A3CD3" w:rsidRDefault="006C0598">
      <w:pPr>
        <w:spacing w:line="248" w:lineRule="auto"/>
        <w:ind w:left="1040" w:right="791" w:hanging="10"/>
      </w:pPr>
      <w:r>
        <w:t>Another sharing criterion was considered. We quote again: "</w:t>
      </w:r>
      <w:r>
        <w:rPr>
          <w:i/>
        </w:rPr>
        <w:t xml:space="preserve">Taking into account a distribution </w:t>
      </w:r>
      <w:r>
        <w:rPr>
          <w:b/>
          <w:i/>
        </w:rPr>
        <w:t xml:space="preserve">based </w:t>
      </w:r>
      <w:r>
        <w:rPr>
          <w:i/>
        </w:rPr>
        <w:t xml:space="preserve">on </w:t>
      </w:r>
      <w:r>
        <w:rPr>
          <w:b/>
          <w:i/>
        </w:rPr>
        <w:t xml:space="preserve">current emissions </w:t>
      </w:r>
      <w:r>
        <w:rPr>
          <w:i/>
        </w:rPr>
        <w:t>(countries with more polluting infrastructures are allocated a higher percentage in order to avoid losing more fixed assets), we obtain a residual budget of between 990 and 1340 MtCO</w:t>
      </w:r>
      <w:r>
        <w:rPr>
          <w:i/>
          <w:vertAlign w:val="subscript"/>
        </w:rPr>
        <w:t>2</w:t>
      </w:r>
      <w:r>
        <w:rPr>
          <w:i/>
        </w:rPr>
        <w:t xml:space="preserve">for Belgium from 2018 onwards (10 to 14 times our current level of </w:t>
      </w:r>
      <w:r>
        <w:rPr>
          <w:i/>
          <w:vertAlign w:val="subscript"/>
        </w:rPr>
        <w:t>2</w:t>
      </w:r>
      <w:r>
        <w:rPr>
          <w:i/>
        </w:rPr>
        <w:t>annual CO emissions)</w:t>
      </w:r>
      <w:r>
        <w:t xml:space="preserve">" The budget obtained with this second distribution key, which gives more to those who are already taking a lot, will be 'eaten up' in 2028, or even 2031, if nothing changes quickly.  </w:t>
      </w:r>
    </w:p>
    <w:p w14:paraId="40AA7E6D" w14:textId="77777777" w:rsidR="004A3CD3" w:rsidRDefault="006C0598">
      <w:pPr>
        <w:ind w:left="1015" w:right="794"/>
      </w:pPr>
      <w:r>
        <w:t xml:space="preserve">It is </w:t>
      </w:r>
      <w:r>
        <w:rPr>
          <w:b/>
        </w:rPr>
        <w:t xml:space="preserve">the second distribution key </w:t>
      </w:r>
      <w:r>
        <w:t xml:space="preserve">that has been retained. It leads to a </w:t>
      </w:r>
      <w:r>
        <w:rPr>
          <w:b/>
        </w:rPr>
        <w:t xml:space="preserve">Belgian residual carbon budget </w:t>
      </w:r>
      <w:r>
        <w:t xml:space="preserve">that is not equitable from a global development point of view because it is not aligned with the principle of common but differentiated responsibilities. From this </w:t>
      </w:r>
      <w:r>
        <w:rPr>
          <w:b/>
        </w:rPr>
        <w:t xml:space="preserve">overly generous </w:t>
      </w:r>
      <w:r>
        <w:t xml:space="preserve">budget, the lower limit was retained: </w:t>
      </w:r>
      <w:r>
        <w:rPr>
          <w:b/>
        </w:rPr>
        <w:t xml:space="preserve">990 MtCO </w:t>
      </w:r>
      <w:r>
        <w:rPr>
          <w:b/>
          <w:vertAlign w:val="subscript"/>
        </w:rPr>
        <w:t>2</w:t>
      </w:r>
      <w:r>
        <w:rPr>
          <w:sz w:val="20"/>
          <w:vertAlign w:val="superscript"/>
        </w:rPr>
        <w:footnoteReference w:id="76"/>
      </w:r>
    </w:p>
    <w:p w14:paraId="67C0FC54" w14:textId="77777777" w:rsidR="004A3CD3" w:rsidRDefault="006C0598">
      <w:pPr>
        <w:spacing w:after="266" w:line="248" w:lineRule="auto"/>
        <w:ind w:left="1040" w:right="791" w:hanging="10"/>
      </w:pPr>
      <w:r>
        <w:t xml:space="preserve">We have stressed that it is essential to be transparent about the distribution key used. The report quoted </w:t>
      </w:r>
      <w:r>
        <w:rPr>
          <w:b/>
        </w:rPr>
        <w:t>is so</w:t>
      </w:r>
      <w:r>
        <w:t xml:space="preserve">. </w:t>
      </w:r>
    </w:p>
    <w:p w14:paraId="719D0F75" w14:textId="77777777" w:rsidR="004A3CD3" w:rsidRDefault="006C0598">
      <w:pPr>
        <w:ind w:left="1030" w:right="794" w:hanging="566"/>
      </w:pPr>
      <w:r>
        <w:t xml:space="preserve">109. With </w:t>
      </w:r>
      <w:r>
        <w:rPr>
          <w:b/>
        </w:rPr>
        <w:t>this Belgian residual carbon budget in mind</w:t>
      </w:r>
      <w:r>
        <w:t xml:space="preserve">, the Expert Group then checked which CO emission reduction trajectory would </w:t>
      </w:r>
      <w:r>
        <w:rPr>
          <w:vertAlign w:val="subscript"/>
        </w:rPr>
        <w:t>2</w:t>
      </w:r>
      <w:r>
        <w:t xml:space="preserve">allow it to be met, starting from the country's emission level in 2018 as established by the competent federal state administration. The following graph shows their results. In passing, they compare these results with the emission reduction trajectories foreseen in the draft Integrated National Energy and Climate Plan prepared at the beginning of 2019 to meet the requirements of the European Union's Governance Regulation 2018/1999. The gap is huge.  </w:t>
      </w:r>
    </w:p>
    <w:p w14:paraId="3166FFC1" w14:textId="77777777" w:rsidR="00E933CB" w:rsidRDefault="00825B93">
      <w:pPr>
        <w:spacing w:after="21" w:line="259" w:lineRule="auto"/>
        <w:ind w:left="0" w:right="1162" w:firstLine="0"/>
        <w:jc w:val="right"/>
      </w:pPr>
      <w:r>
        <w:rPr>
          <w:noProof/>
        </w:rPr>
        <w:lastRenderedPageBreak/>
        <w:drawing>
          <wp:inline distT="0" distB="0" distL="0" distR="0" wp14:anchorId="760169C6" wp14:editId="2F43D076">
            <wp:extent cx="5406390" cy="3355848"/>
            <wp:effectExtent l="0" t="0" r="0" b="0"/>
            <wp:docPr id="9411" name="Picture 9411"/>
            <wp:cNvGraphicFramePr/>
            <a:graphic xmlns:a="http://schemas.openxmlformats.org/drawingml/2006/main">
              <a:graphicData uri="http://schemas.openxmlformats.org/drawingml/2006/picture">
                <pic:pic xmlns:pic="http://schemas.openxmlformats.org/drawingml/2006/picture">
                  <pic:nvPicPr>
                    <pic:cNvPr id="9411" name="Picture 9411"/>
                    <pic:cNvPicPr/>
                  </pic:nvPicPr>
                  <pic:blipFill>
                    <a:blip r:embed="rId32"/>
                    <a:stretch>
                      <a:fillRect/>
                    </a:stretch>
                  </pic:blipFill>
                  <pic:spPr>
                    <a:xfrm>
                      <a:off x="0" y="0"/>
                      <a:ext cx="5406390" cy="3355848"/>
                    </a:xfrm>
                    <a:prstGeom prst="rect">
                      <a:avLst/>
                    </a:prstGeom>
                  </pic:spPr>
                </pic:pic>
              </a:graphicData>
            </a:graphic>
          </wp:inline>
        </w:drawing>
      </w:r>
      <w:r>
        <w:t xml:space="preserve"> </w:t>
      </w:r>
    </w:p>
    <w:p w14:paraId="576E5984" w14:textId="77777777" w:rsidR="004A3CD3" w:rsidRDefault="006C0598">
      <w:pPr>
        <w:pStyle w:val="Heading2"/>
        <w:spacing w:after="208"/>
        <w:ind w:left="1025" w:right="0"/>
      </w:pPr>
      <w:bookmarkStart w:id="14" w:name="_Toc179581"/>
      <w:r>
        <w:rPr>
          <w:i/>
        </w:rPr>
        <w:t xml:space="preserve">Figure 14. </w:t>
      </w:r>
      <w:r>
        <w:t xml:space="preserve">Belgian emission reductions. </w:t>
      </w:r>
      <w:bookmarkEnd w:id="14"/>
    </w:p>
    <w:p w14:paraId="3F6D04F4" w14:textId="77777777" w:rsidR="004A3CD3" w:rsidRDefault="006C0598">
      <w:pPr>
        <w:spacing w:after="277"/>
        <w:ind w:left="1015" w:right="794"/>
      </w:pPr>
      <w:r>
        <w:t>They point out that this reduction scenario, which leads to zero net CO emissions</w:t>
      </w:r>
      <w:r>
        <w:rPr>
          <w:vertAlign w:val="subscript"/>
        </w:rPr>
        <w:t>2</w:t>
      </w:r>
      <w:r>
        <w:t xml:space="preserve">in 2040, allows for a residual carbon budget </w:t>
      </w:r>
      <w:r>
        <w:rPr>
          <w:i/>
        </w:rPr>
        <w:t xml:space="preserve">of </w:t>
      </w:r>
      <w:r>
        <w:t>"</w:t>
      </w:r>
      <w:r>
        <w:rPr>
          <w:i/>
        </w:rPr>
        <w:t xml:space="preserve">about 1,000 </w:t>
      </w:r>
      <w:r>
        <w:t xml:space="preserve">MtCO  </w:t>
      </w:r>
      <w:r>
        <w:rPr>
          <w:i/>
          <w:vertAlign w:val="subscript"/>
        </w:rPr>
        <w:t>2</w:t>
      </w:r>
      <w:r>
        <w:rPr>
          <w:sz w:val="20"/>
          <w:vertAlign w:val="superscript"/>
        </w:rPr>
        <w:footnoteReference w:id="77"/>
      </w:r>
    </w:p>
    <w:p w14:paraId="5463E2F9" w14:textId="77777777" w:rsidR="004A3CD3" w:rsidRDefault="006C0598">
      <w:pPr>
        <w:spacing w:after="68"/>
        <w:ind w:left="1030" w:right="794" w:hanging="566"/>
      </w:pPr>
      <w:r>
        <w:t xml:space="preserve">110. Their results imply that by </w:t>
      </w:r>
      <w:r>
        <w:rPr>
          <w:b/>
        </w:rPr>
        <w:t xml:space="preserve">2030, </w:t>
      </w:r>
      <w:r>
        <w:t xml:space="preserve">a </w:t>
      </w:r>
      <w:r>
        <w:rPr>
          <w:b/>
        </w:rPr>
        <w:t xml:space="preserve">65% </w:t>
      </w:r>
      <w:r>
        <w:t>reduction in CO</w:t>
      </w:r>
      <w:r>
        <w:rPr>
          <w:vertAlign w:val="subscript"/>
        </w:rPr>
        <w:t>2</w:t>
      </w:r>
      <w:r>
        <w:t xml:space="preserve"> must be achieved, in accordance with a linear reduction trajectory. This can be seen in the graph below: </w:t>
      </w:r>
    </w:p>
    <w:p w14:paraId="17075E99" w14:textId="77777777" w:rsidR="00E933CB" w:rsidRDefault="00825B93">
      <w:pPr>
        <w:spacing w:after="22" w:line="259" w:lineRule="auto"/>
        <w:ind w:left="0" w:right="386" w:firstLine="0"/>
        <w:jc w:val="right"/>
      </w:pPr>
      <w:r>
        <w:rPr>
          <w:noProof/>
        </w:rPr>
        <w:drawing>
          <wp:inline distT="0" distB="0" distL="0" distR="0" wp14:anchorId="57A0F856" wp14:editId="5563E14B">
            <wp:extent cx="5541645" cy="2478278"/>
            <wp:effectExtent l="0" t="0" r="0" b="0"/>
            <wp:docPr id="9413" name="Picture 9413"/>
            <wp:cNvGraphicFramePr/>
            <a:graphic xmlns:a="http://schemas.openxmlformats.org/drawingml/2006/main">
              <a:graphicData uri="http://schemas.openxmlformats.org/drawingml/2006/picture">
                <pic:pic xmlns:pic="http://schemas.openxmlformats.org/drawingml/2006/picture">
                  <pic:nvPicPr>
                    <pic:cNvPr id="9413" name="Picture 9413"/>
                    <pic:cNvPicPr/>
                  </pic:nvPicPr>
                  <pic:blipFill>
                    <a:blip r:embed="rId33"/>
                    <a:stretch>
                      <a:fillRect/>
                    </a:stretch>
                  </pic:blipFill>
                  <pic:spPr>
                    <a:xfrm>
                      <a:off x="0" y="0"/>
                      <a:ext cx="5541645" cy="2478278"/>
                    </a:xfrm>
                    <a:prstGeom prst="rect">
                      <a:avLst/>
                    </a:prstGeom>
                  </pic:spPr>
                </pic:pic>
              </a:graphicData>
            </a:graphic>
          </wp:inline>
        </w:drawing>
      </w:r>
      <w:r>
        <w:rPr>
          <w:i/>
        </w:rPr>
        <w:t xml:space="preserve"> </w:t>
      </w:r>
    </w:p>
    <w:p w14:paraId="10C4DBE4" w14:textId="77777777" w:rsidR="004A3CD3" w:rsidRDefault="006C0598">
      <w:pPr>
        <w:pStyle w:val="Heading2"/>
        <w:spacing w:after="283"/>
        <w:ind w:left="1025"/>
      </w:pPr>
      <w:bookmarkStart w:id="15" w:name="_Toc179582"/>
      <w:r>
        <w:rPr>
          <w:i/>
        </w:rPr>
        <w:t>Figure 15</w:t>
      </w:r>
      <w:r>
        <w:t xml:space="preserve">. Belgium's residual carbon budget: linear reduction path  </w:t>
      </w:r>
      <w:bookmarkEnd w:id="15"/>
    </w:p>
    <w:p w14:paraId="6B34782B" w14:textId="77777777" w:rsidR="004A3CD3" w:rsidRDefault="006C0598">
      <w:pPr>
        <w:ind w:left="1030" w:right="794" w:hanging="566"/>
      </w:pPr>
      <w:r>
        <w:t>111. The 65% reduction in CO emissions</w:t>
      </w:r>
      <w:r>
        <w:rPr>
          <w:vertAlign w:val="subscript"/>
        </w:rPr>
        <w:t>2</w:t>
      </w:r>
      <w:r>
        <w:t xml:space="preserve"> by 2030 is </w:t>
      </w:r>
      <w:r>
        <w:rPr>
          <w:b/>
        </w:rPr>
        <w:t xml:space="preserve">extremely reasonable </w:t>
      </w:r>
      <w:r>
        <w:t xml:space="preserve">and should be understood as a bare minimum for the country to do its part.  </w:t>
      </w:r>
    </w:p>
    <w:p w14:paraId="56F2E841" w14:textId="77777777" w:rsidR="004A3CD3" w:rsidRDefault="006C0598">
      <w:pPr>
        <w:ind w:left="1015" w:right="794"/>
      </w:pPr>
      <w:r>
        <w:t xml:space="preserve">Indeed: </w:t>
      </w:r>
    </w:p>
    <w:p w14:paraId="3FC4EF56" w14:textId="77777777" w:rsidR="004A3CD3" w:rsidRDefault="006C0598">
      <w:pPr>
        <w:ind w:left="1015" w:right="794"/>
      </w:pPr>
      <w:r>
        <w:t xml:space="preserve">1/ The global residual carbon budget on which the Belgian residual carbon budget and emission reduction pathway are based is the global residual carbon budget put forward by the </w:t>
      </w:r>
      <w:r>
        <w:rPr>
          <w:b/>
        </w:rPr>
        <w:t xml:space="preserve">IPCC </w:t>
      </w:r>
      <w:r>
        <w:t xml:space="preserve">in </w:t>
      </w:r>
      <w:r>
        <w:rPr>
          <w:b/>
        </w:rPr>
        <w:t>2018</w:t>
      </w:r>
      <w:r>
        <w:t xml:space="preserve">. However, in its AR6.I of </w:t>
      </w:r>
      <w:r>
        <w:rPr>
          <w:b/>
        </w:rPr>
        <w:t xml:space="preserve">2021, </w:t>
      </w:r>
      <w:r>
        <w:t xml:space="preserve">the IPCC </w:t>
      </w:r>
      <w:r>
        <w:rPr>
          <w:b/>
        </w:rPr>
        <w:t xml:space="preserve">revised </w:t>
      </w:r>
      <w:r>
        <w:t xml:space="preserve">this budget </w:t>
      </w:r>
      <w:r>
        <w:rPr>
          <w:b/>
        </w:rPr>
        <w:t>downwards</w:t>
      </w:r>
      <w:r>
        <w:t xml:space="preserve">. The national </w:t>
      </w:r>
      <w:r>
        <w:lastRenderedPageBreak/>
        <w:t xml:space="preserve">residual carbon budget is currently smaller than the one used to establish the emissions reduction trajectory and the resulting 65% reduction in 2030. </w:t>
      </w:r>
    </w:p>
    <w:p w14:paraId="011E9B66" w14:textId="77777777" w:rsidR="004A3CD3" w:rsidRDefault="006C0598">
      <w:pPr>
        <w:ind w:left="1015" w:right="794"/>
      </w:pPr>
      <w:r>
        <w:t xml:space="preserve">2/ The % of 65% in 2030 put forward by the Expert Group is based on a Belgian residual carbon budget that was calculated on the basis of a </w:t>
      </w:r>
      <w:r>
        <w:rPr>
          <w:b/>
        </w:rPr>
        <w:t xml:space="preserve">distribution key that ignores the principle of common but differentiated responsibility </w:t>
      </w:r>
      <w:r>
        <w:t xml:space="preserve">enshrined in the UNFCCC and confirmed by the Paris Agreement. On the basis of this distribution key, Belgium's share is </w:t>
      </w:r>
      <w:r>
        <w:rPr>
          <w:b/>
        </w:rPr>
        <w:t>too generous</w:t>
      </w:r>
      <w:r>
        <w:t xml:space="preserve">. </w:t>
      </w:r>
    </w:p>
    <w:p w14:paraId="0E3C53C7" w14:textId="77777777" w:rsidR="004A3CD3" w:rsidRDefault="006C0598">
      <w:pPr>
        <w:spacing w:after="264"/>
        <w:ind w:left="1015" w:right="794"/>
      </w:pPr>
      <w:r>
        <w:t>On the basis of the factual data, established by the IPCC and recognised by the international world community, that the limit of dangerous warming is "</w:t>
      </w:r>
      <w:r>
        <w:rPr>
          <w:i/>
        </w:rPr>
        <w:t>well below 2°C</w:t>
      </w:r>
      <w:r>
        <w:t>" and must be understood as 1.5°C, and of the resulting residual global and Belgian carbon budgets, a 65% reduction in CO emissions</w:t>
      </w:r>
      <w:r>
        <w:rPr>
          <w:vertAlign w:val="subscript"/>
        </w:rPr>
        <w:t>2</w:t>
      </w:r>
      <w:r>
        <w:t xml:space="preserve">from the Belgian territory over 2030 is truly </w:t>
      </w:r>
      <w:r>
        <w:rPr>
          <w:b/>
        </w:rPr>
        <w:t xml:space="preserve">a strict minimum </w:t>
      </w:r>
    </w:p>
    <w:p w14:paraId="3B66A3DB" w14:textId="77777777" w:rsidR="004A3CD3" w:rsidRDefault="006C0598">
      <w:pPr>
        <w:numPr>
          <w:ilvl w:val="0"/>
          <w:numId w:val="35"/>
        </w:numPr>
        <w:spacing w:after="27"/>
        <w:ind w:right="792" w:hanging="566"/>
      </w:pPr>
      <w:r>
        <w:t xml:space="preserve">Several European countries have already adopted similar or more stringent emission reduction targets. </w:t>
      </w:r>
    </w:p>
    <w:p w14:paraId="6BA8CE21" w14:textId="77777777" w:rsidR="004A3CD3" w:rsidRDefault="006C0598">
      <w:pPr>
        <w:numPr>
          <w:ilvl w:val="2"/>
          <w:numId w:val="36"/>
        </w:numPr>
        <w:spacing w:after="44"/>
        <w:ind w:right="763" w:hanging="360"/>
        <w:jc w:val="left"/>
      </w:pPr>
      <w:r>
        <w:t xml:space="preserve">Finland aims for </w:t>
      </w:r>
      <w:r>
        <w:rPr>
          <w:b/>
        </w:rPr>
        <w:t xml:space="preserve">zero </w:t>
      </w:r>
      <w:r>
        <w:t xml:space="preserve">net GHG emissions by 2035 (Exhibit P.14) ; </w:t>
      </w:r>
    </w:p>
    <w:p w14:paraId="45F8A7BF" w14:textId="77777777" w:rsidR="004A3CD3" w:rsidRDefault="006C0598">
      <w:pPr>
        <w:numPr>
          <w:ilvl w:val="2"/>
          <w:numId w:val="36"/>
        </w:numPr>
        <w:spacing w:after="44"/>
        <w:ind w:right="763" w:hanging="360"/>
        <w:jc w:val="left"/>
      </w:pPr>
      <w:r>
        <w:t xml:space="preserve">Denmark's Climate Law of December 6, 2019 calls for a </w:t>
      </w:r>
      <w:r>
        <w:rPr>
          <w:b/>
        </w:rPr>
        <w:t xml:space="preserve">70% </w:t>
      </w:r>
      <w:r>
        <w:t xml:space="preserve">reduction in GHG emissions over 2030 (Exhibit L.22) ; </w:t>
      </w:r>
    </w:p>
    <w:p w14:paraId="6F48299E" w14:textId="77777777" w:rsidR="004A3CD3" w:rsidRDefault="006C0598">
      <w:pPr>
        <w:numPr>
          <w:ilvl w:val="2"/>
          <w:numId w:val="36"/>
        </w:numPr>
        <w:spacing w:after="52" w:line="251" w:lineRule="auto"/>
        <w:ind w:right="763" w:hanging="360"/>
        <w:jc w:val="left"/>
      </w:pPr>
      <w:r>
        <w:t xml:space="preserve">The UK has revised upwards the 57% GHG emission reduction target for 2030 in its </w:t>
      </w:r>
      <w:r>
        <w:rPr>
          <w:i/>
        </w:rPr>
        <w:t>Climate Change Act</w:t>
      </w:r>
      <w:r>
        <w:t xml:space="preserve">. The revised percentage in the Act is a reduction of at least </w:t>
      </w:r>
      <w:r>
        <w:rPr>
          <w:b/>
        </w:rPr>
        <w:t xml:space="preserve">78% </w:t>
      </w:r>
      <w:r>
        <w:t>by 2035</w:t>
      </w:r>
      <w:r>
        <w:rPr>
          <w:sz w:val="20"/>
          <w:vertAlign w:val="superscript"/>
        </w:rPr>
        <w:t>83</w:t>
      </w:r>
      <w:r>
        <w:t xml:space="preserve">; </w:t>
      </w:r>
    </w:p>
    <w:p w14:paraId="3E718D6E" w14:textId="77777777" w:rsidR="004A3CD3" w:rsidRDefault="006C0598">
      <w:pPr>
        <w:numPr>
          <w:ilvl w:val="2"/>
          <w:numId w:val="36"/>
        </w:numPr>
        <w:spacing w:after="288" w:line="251" w:lineRule="auto"/>
        <w:ind w:right="763" w:hanging="360"/>
        <w:jc w:val="left"/>
      </w:pPr>
      <w:r>
        <w:t xml:space="preserve">Following the recent judgment of the </w:t>
      </w:r>
      <w:r>
        <w:rPr>
          <w:i/>
        </w:rPr>
        <w:t>Bundesverfassungsgericht</w:t>
      </w:r>
      <w:r>
        <w:t>, which pinpointed the disregard of the intergenerational dimension of climate policy by the federal climate law ('</w:t>
      </w:r>
      <w:r>
        <w:rPr>
          <w:i/>
        </w:rPr>
        <w:t>Bundesklimaschutzgesetz'</w:t>
      </w:r>
      <w:r>
        <w:t>)</w:t>
      </w:r>
      <w:r>
        <w:rPr>
          <w:vertAlign w:val="superscript"/>
        </w:rPr>
        <w:t>84</w:t>
      </w:r>
      <w:r>
        <w:t xml:space="preserve">, Germany has revised upwards the percentage of GHG emissions reduction for 2030 inscribed in this law. At the end of August 2021, this percentage increased from 55% to at </w:t>
      </w:r>
      <w:r>
        <w:rPr>
          <w:b/>
        </w:rPr>
        <w:t>least 65%</w:t>
      </w:r>
      <w:r>
        <w:t xml:space="preserve">. </w:t>
      </w:r>
      <w:r>
        <w:rPr>
          <w:sz w:val="20"/>
          <w:vertAlign w:val="superscript"/>
        </w:rPr>
        <w:t>85</w:t>
      </w:r>
    </w:p>
    <w:p w14:paraId="254B98B1" w14:textId="77777777" w:rsidR="004A3CD3" w:rsidRDefault="006C0598">
      <w:pPr>
        <w:numPr>
          <w:ilvl w:val="0"/>
          <w:numId w:val="35"/>
        </w:numPr>
        <w:spacing w:after="391" w:line="248" w:lineRule="auto"/>
        <w:ind w:right="792" w:hanging="566"/>
      </w:pPr>
      <w:r>
        <w:t xml:space="preserve">Given the critical importance of the </w:t>
      </w:r>
      <w:r>
        <w:rPr>
          <w:b/>
        </w:rPr>
        <w:t xml:space="preserve">linearity of </w:t>
      </w:r>
      <w:r>
        <w:t xml:space="preserve">the emissions reduction pathway, explained above, it is useful to specify the percentages of emissions reductions from now to 2030 that correspond to this linearity. We draw these from the GHG emission reduction series that are part of the Expert Panel's graph. They tell us in MtCO amounts </w:t>
      </w:r>
      <w:r>
        <w:rPr>
          <w:vertAlign w:val="subscript"/>
        </w:rPr>
        <w:t>2</w:t>
      </w:r>
      <w:r>
        <w:t xml:space="preserve">and percent reductions relative to 1990 what the Expert Panel's graph visually communicates.  </w:t>
      </w:r>
    </w:p>
    <w:p w14:paraId="602D8F12" w14:textId="77777777" w:rsidR="00E933CB" w:rsidRDefault="00825B93">
      <w:pPr>
        <w:spacing w:after="66" w:line="259" w:lineRule="auto"/>
        <w:ind w:left="1030" w:right="0" w:firstLine="0"/>
        <w:jc w:val="left"/>
      </w:pPr>
      <w:r>
        <w:rPr>
          <w:strike/>
        </w:rPr>
        <w:t xml:space="preserve">                                                         </w:t>
      </w:r>
      <w:r>
        <w:t xml:space="preserve"> </w:t>
      </w:r>
    </w:p>
    <w:p w14:paraId="4ED69E66" w14:textId="77777777" w:rsidR="004A3CD3" w:rsidRDefault="00B165DF">
      <w:pPr>
        <w:numPr>
          <w:ilvl w:val="1"/>
          <w:numId w:val="35"/>
        </w:numPr>
        <w:spacing w:after="3" w:line="250" w:lineRule="auto"/>
        <w:ind w:right="791" w:hanging="293"/>
      </w:pPr>
      <w:hyperlink r:id="rId34">
        <w:r w:rsidR="006C0598">
          <w:rPr>
            <w:sz w:val="18"/>
            <w:u w:val="single" w:color="000000"/>
          </w:rPr>
          <w:t xml:space="preserve">See </w:t>
        </w:r>
      </w:hyperlink>
      <w:r w:rsidR="006C0598">
        <w:rPr>
          <w:sz w:val="18"/>
        </w:rPr>
        <w:t>https://www.gov.uk/governme</w:t>
      </w:r>
      <w:hyperlink r:id="rId35">
        <w:r w:rsidR="006C0598">
          <w:rPr>
            <w:sz w:val="18"/>
            <w:u w:val="single" w:color="000000"/>
          </w:rPr>
          <w:t xml:space="preserve">nt/news/uk-enshrines-new-target-in-law-to-slash-emissions-by-78-by-2035 </w:t>
        </w:r>
      </w:hyperlink>
      <w:r w:rsidR="006C0598">
        <w:rPr>
          <w:sz w:val="18"/>
        </w:rPr>
        <w:t xml:space="preserve">. See also </w:t>
      </w:r>
      <w:hyperlink r:id="rId36">
        <w:r w:rsidR="006C0598">
          <w:rPr>
            <w:sz w:val="18"/>
            <w:u w:val="single" w:color="000000"/>
          </w:rPr>
          <w:t xml:space="preserve">https://www.gov.uk/government/news/uk-sets-ambitious-new-climate-target-ahead-of-un </w:t>
        </w:r>
      </w:hyperlink>
      <w:hyperlink r:id="rId37"/>
      <w:hyperlink r:id="rId38">
        <w:r w:rsidR="006C0598">
          <w:rPr>
            <w:sz w:val="18"/>
            <w:u w:val="single" w:color="000000"/>
          </w:rPr>
          <w:t xml:space="preserve">summit  </w:t>
        </w:r>
      </w:hyperlink>
    </w:p>
    <w:p w14:paraId="1A87885F" w14:textId="77777777" w:rsidR="004A3CD3" w:rsidRDefault="006C0598">
      <w:pPr>
        <w:numPr>
          <w:ilvl w:val="1"/>
          <w:numId w:val="35"/>
        </w:numPr>
        <w:spacing w:after="3" w:line="260" w:lineRule="auto"/>
        <w:ind w:right="791" w:hanging="293"/>
      </w:pPr>
      <w:r>
        <w:rPr>
          <w:i/>
          <w:sz w:val="18"/>
        </w:rPr>
        <w:t>Bundesverfassungsgericht</w:t>
      </w:r>
      <w:r>
        <w:rPr>
          <w:sz w:val="18"/>
        </w:rPr>
        <w:t xml:space="preserve">, Order of 24 March 2021. </w:t>
      </w:r>
    </w:p>
    <w:p w14:paraId="5C876BC4" w14:textId="77777777" w:rsidR="004A3CD3" w:rsidRDefault="00B165DF">
      <w:pPr>
        <w:spacing w:after="4" w:line="249" w:lineRule="auto"/>
        <w:ind w:left="1025" w:right="415" w:hanging="293"/>
        <w:jc w:val="left"/>
      </w:pPr>
      <w:hyperlink r:id="rId39">
        <w:r w:rsidR="006C0598">
          <w:rPr>
            <w:color w:val="0000FF"/>
            <w:sz w:val="18"/>
            <w:u w:val="single" w:color="0000FF"/>
          </w:rPr>
          <w:t xml:space="preserve">  See </w:t>
        </w:r>
      </w:hyperlink>
      <w:r w:rsidR="006C0598">
        <w:rPr>
          <w:sz w:val="18"/>
        </w:rPr>
        <w:tab/>
        <w:t>https://www.bundesve</w:t>
      </w:r>
      <w:hyperlink r:id="rId40">
        <w:r w:rsidR="006C0598">
          <w:rPr>
            <w:color w:val="0000FF"/>
            <w:sz w:val="18"/>
            <w:u w:val="single" w:color="0000FF"/>
          </w:rPr>
          <w:t>rfassungsgericht.de/SharedDocs/Entscheidungen/EN/2021/03/rs20210324_1bvr265618en</w:t>
        </w:r>
      </w:hyperlink>
    </w:p>
    <w:p w14:paraId="523E3470" w14:textId="77777777" w:rsidR="004A3CD3" w:rsidRDefault="00B165DF">
      <w:pPr>
        <w:spacing w:after="4" w:line="249" w:lineRule="auto"/>
        <w:ind w:left="1030" w:right="415" w:firstLine="0"/>
        <w:jc w:val="left"/>
      </w:pPr>
      <w:hyperlink r:id="rId41">
        <w:r w:rsidR="006C0598">
          <w:rPr>
            <w:color w:val="0000FF"/>
            <w:sz w:val="18"/>
            <w:u w:val="single" w:color="0000FF"/>
          </w:rPr>
          <w:t xml:space="preserve">.html </w:t>
        </w:r>
      </w:hyperlink>
      <w:hyperlink r:id="rId42">
        <w:r w:rsidR="006C0598">
          <w:rPr>
            <w:sz w:val="18"/>
          </w:rPr>
          <w:t>.</w:t>
        </w:r>
      </w:hyperlink>
      <w:r w:rsidR="006C0598">
        <w:rPr>
          <w:sz w:val="18"/>
        </w:rPr>
        <w:t xml:space="preserve">  </w:t>
      </w:r>
    </w:p>
    <w:p w14:paraId="376E9EA7" w14:textId="77777777" w:rsidR="004A3CD3" w:rsidRDefault="006C0598">
      <w:pPr>
        <w:spacing w:after="3" w:line="250" w:lineRule="auto"/>
        <w:ind w:left="1025" w:right="791" w:hanging="293"/>
      </w:pPr>
      <w:r>
        <w:rPr>
          <w:sz w:val="18"/>
        </w:rPr>
        <w:tab/>
        <w:t xml:space="preserve"> </w:t>
      </w:r>
      <w:r>
        <w:rPr>
          <w:sz w:val="18"/>
        </w:rPr>
        <w:tab/>
        <w:t xml:space="preserve">See </w:t>
      </w:r>
      <w:r>
        <w:rPr>
          <w:sz w:val="18"/>
        </w:rPr>
        <w:tab/>
        <w:t xml:space="preserve">also </w:t>
      </w:r>
      <w:r>
        <w:rPr>
          <w:sz w:val="18"/>
        </w:rPr>
        <w:tab/>
      </w:r>
      <w:hyperlink r:id="rId43">
        <w:r>
          <w:rPr>
            <w:sz w:val="18"/>
            <w:u w:val="single" w:color="000000"/>
          </w:rPr>
          <w:t xml:space="preserve">https://www.bundesverfassungsgericht.de/SharedDocs/Pressemitteilungen/EN/2021/bvg21 </w:t>
        </w:r>
      </w:hyperlink>
      <w:hyperlink r:id="rId44"/>
      <w:hyperlink r:id="rId45">
        <w:r>
          <w:rPr>
            <w:sz w:val="18"/>
            <w:u w:val="single" w:color="000000"/>
          </w:rPr>
          <w:t xml:space="preserve">031.html  </w:t>
        </w:r>
      </w:hyperlink>
    </w:p>
    <w:p w14:paraId="29C95113" w14:textId="77777777" w:rsidR="004A3CD3" w:rsidRDefault="006C0598">
      <w:pPr>
        <w:numPr>
          <w:ilvl w:val="1"/>
          <w:numId w:val="35"/>
        </w:numPr>
        <w:spacing w:after="3" w:line="250" w:lineRule="auto"/>
        <w:ind w:right="791" w:hanging="293"/>
      </w:pPr>
      <w:r>
        <w:rPr>
          <w:sz w:val="18"/>
        </w:rPr>
        <w:t xml:space="preserve">See also </w:t>
      </w:r>
      <w:r>
        <w:rPr>
          <w:sz w:val="18"/>
        </w:rPr>
        <w:tab/>
      </w:r>
      <w:hyperlink r:id="rId46">
        <w:r>
          <w:rPr>
            <w:sz w:val="18"/>
            <w:u w:val="single" w:color="000000"/>
          </w:rPr>
          <w:t xml:space="preserve">https://www.reuters.com/business/environment/germany-raise-2030-co2-emissions-reduction-target-65 </w:t>
        </w:r>
      </w:hyperlink>
      <w:hyperlink r:id="rId47"/>
      <w:hyperlink r:id="rId48">
        <w:r>
          <w:rPr>
            <w:sz w:val="18"/>
            <w:u w:val="single" w:color="000000"/>
          </w:rPr>
          <w:t xml:space="preserve">spiegel-2021-05-05/  </w:t>
        </w:r>
      </w:hyperlink>
    </w:p>
    <w:p w14:paraId="2B3808AA" w14:textId="77777777" w:rsidR="00E933CB" w:rsidRDefault="00825B93">
      <w:pPr>
        <w:spacing w:after="55" w:line="259" w:lineRule="auto"/>
        <w:ind w:left="1030" w:right="0" w:firstLine="0"/>
        <w:jc w:val="left"/>
      </w:pPr>
      <w:r>
        <w:t xml:space="preserve">  </w:t>
      </w:r>
    </w:p>
    <w:p w14:paraId="1FB13588" w14:textId="77777777" w:rsidR="00E933CB" w:rsidRDefault="00825B93">
      <w:pPr>
        <w:spacing w:after="21" w:line="259" w:lineRule="auto"/>
        <w:ind w:left="0" w:right="0" w:firstLine="0"/>
        <w:jc w:val="right"/>
      </w:pPr>
      <w:r>
        <w:rPr>
          <w:noProof/>
        </w:rPr>
        <w:drawing>
          <wp:inline distT="0" distB="0" distL="0" distR="0" wp14:anchorId="73C6E338" wp14:editId="3007C78B">
            <wp:extent cx="6057011" cy="858520"/>
            <wp:effectExtent l="0" t="0" r="0" b="0"/>
            <wp:docPr id="10019" name="Picture 10019"/>
            <wp:cNvGraphicFramePr/>
            <a:graphic xmlns:a="http://schemas.openxmlformats.org/drawingml/2006/main">
              <a:graphicData uri="http://schemas.openxmlformats.org/drawingml/2006/picture">
                <pic:pic xmlns:pic="http://schemas.openxmlformats.org/drawingml/2006/picture">
                  <pic:nvPicPr>
                    <pic:cNvPr id="10019" name="Picture 10019"/>
                    <pic:cNvPicPr/>
                  </pic:nvPicPr>
                  <pic:blipFill>
                    <a:blip r:embed="rId49"/>
                    <a:stretch>
                      <a:fillRect/>
                    </a:stretch>
                  </pic:blipFill>
                  <pic:spPr>
                    <a:xfrm>
                      <a:off x="0" y="0"/>
                      <a:ext cx="6057011" cy="858520"/>
                    </a:xfrm>
                    <a:prstGeom prst="rect">
                      <a:avLst/>
                    </a:prstGeom>
                  </pic:spPr>
                </pic:pic>
              </a:graphicData>
            </a:graphic>
          </wp:inline>
        </w:drawing>
      </w:r>
      <w:r>
        <w:t xml:space="preserve"> </w:t>
      </w:r>
    </w:p>
    <w:p w14:paraId="6C5F58BA" w14:textId="77777777" w:rsidR="004A3CD3" w:rsidRDefault="006C0598">
      <w:pPr>
        <w:pStyle w:val="Heading2"/>
        <w:spacing w:after="208"/>
        <w:ind w:left="1025" w:right="0"/>
      </w:pPr>
      <w:bookmarkStart w:id="16" w:name="_Toc179583"/>
      <w:r>
        <w:rPr>
          <w:i/>
        </w:rPr>
        <w:t>Figure 16</w:t>
      </w:r>
      <w:r>
        <w:t xml:space="preserve">. Table of reductions by 2030 with a 65% cap in 2030 </w:t>
      </w:r>
      <w:bookmarkEnd w:id="16"/>
    </w:p>
    <w:p w14:paraId="20DBCBDC" w14:textId="77777777" w:rsidR="004A3CD3" w:rsidRDefault="006C0598">
      <w:pPr>
        <w:spacing w:after="267"/>
        <w:ind w:left="1015" w:right="794"/>
      </w:pPr>
      <w:r>
        <w:t xml:space="preserve">Adding this milestone of 48% in 2025 to the reduction target of 65% over 2030, offers a guarantee for the linearity of the reduction trajectory over 2030. As already mentioned, this </w:t>
      </w:r>
      <w:r>
        <w:lastRenderedPageBreak/>
        <w:t xml:space="preserve">linearity is essential for respecting the Belgian residual carbon budget. Moreover, a reduction of GHG emissions of at least 48% by 2025 simply offers a guarantee of the possibility to reach a reduction of at least 65% by 2030. </w:t>
      </w:r>
    </w:p>
    <w:p w14:paraId="2B288D2A" w14:textId="77777777" w:rsidR="004A3CD3" w:rsidRDefault="006C0598">
      <w:pPr>
        <w:numPr>
          <w:ilvl w:val="0"/>
          <w:numId w:val="37"/>
        </w:numPr>
        <w:spacing w:after="266" w:line="248" w:lineRule="auto"/>
        <w:ind w:right="794" w:hanging="566"/>
      </w:pPr>
      <w:r>
        <w:t xml:space="preserve">The 2030 reduction target is essential in that it includes a guarantee that the goal of zero net emissions can be achieved in time. We will return to this later.  </w:t>
      </w:r>
    </w:p>
    <w:p w14:paraId="4DBC60B8" w14:textId="77777777" w:rsidR="004A3CD3" w:rsidRDefault="006C0598">
      <w:pPr>
        <w:numPr>
          <w:ilvl w:val="0"/>
          <w:numId w:val="37"/>
        </w:numPr>
        <w:ind w:right="794" w:hanging="566"/>
      </w:pPr>
      <w:r>
        <w:t xml:space="preserve">In conclusion, </w:t>
      </w:r>
      <w:r>
        <w:rPr>
          <w:b/>
        </w:rPr>
        <w:t xml:space="preserve">the standard of behaviour that should be applied </w:t>
      </w:r>
      <w:r>
        <w:t xml:space="preserve">in the </w:t>
      </w:r>
      <w:r>
        <w:rPr>
          <w:b/>
        </w:rPr>
        <w:t xml:space="preserve">future </w:t>
      </w:r>
      <w:r>
        <w:t xml:space="preserve">by the respondents in order to comply with Articles 2 and 8 of the ECHR and Article 1382 of the Civil Code is the following: </w:t>
      </w:r>
    </w:p>
    <w:p w14:paraId="4ED7523A" w14:textId="77777777" w:rsidR="00E933CB" w:rsidRDefault="00825B93">
      <w:pPr>
        <w:spacing w:after="0" w:line="259" w:lineRule="auto"/>
        <w:ind w:left="1030" w:right="0" w:firstLine="0"/>
        <w:jc w:val="left"/>
      </w:pPr>
      <w:r>
        <w:t xml:space="preserve"> </w:t>
      </w:r>
    </w:p>
    <w:tbl>
      <w:tblPr>
        <w:tblStyle w:val="TableGrid"/>
        <w:tblW w:w="8920" w:type="dxa"/>
        <w:tblInd w:w="468" w:type="dxa"/>
        <w:tblCellMar>
          <w:right w:w="62" w:type="dxa"/>
        </w:tblCellMar>
        <w:tblLook w:val="04A0" w:firstRow="1" w:lastRow="0" w:firstColumn="1" w:lastColumn="0" w:noHBand="0" w:noVBand="1"/>
      </w:tblPr>
      <w:tblGrid>
        <w:gridCol w:w="1034"/>
        <w:gridCol w:w="7886"/>
      </w:tblGrid>
      <w:tr w:rsidR="00E933CB" w14:paraId="5DD293E0" w14:textId="77777777">
        <w:trPr>
          <w:trHeight w:val="1236"/>
        </w:trPr>
        <w:tc>
          <w:tcPr>
            <w:tcW w:w="1034" w:type="dxa"/>
            <w:tcBorders>
              <w:top w:val="single" w:sz="4" w:space="0" w:color="000000"/>
              <w:left w:val="single" w:sz="4" w:space="0" w:color="000000"/>
              <w:bottom w:val="nil"/>
              <w:right w:val="nil"/>
            </w:tcBorders>
          </w:tcPr>
          <w:p w14:paraId="357A5DAD" w14:textId="77777777" w:rsidR="004A3CD3" w:rsidRDefault="004A3CD3">
            <w:pPr>
              <w:spacing w:after="0" w:line="259" w:lineRule="auto"/>
              <w:ind w:left="444" w:right="0" w:firstLine="0"/>
              <w:jc w:val="center"/>
            </w:pPr>
          </w:p>
        </w:tc>
        <w:tc>
          <w:tcPr>
            <w:tcW w:w="7886" w:type="dxa"/>
            <w:tcBorders>
              <w:top w:val="single" w:sz="4" w:space="0" w:color="000000"/>
              <w:left w:val="nil"/>
              <w:bottom w:val="nil"/>
              <w:right w:val="single" w:sz="4" w:space="0" w:color="000000"/>
            </w:tcBorders>
          </w:tcPr>
          <w:p w14:paraId="32689130" w14:textId="77777777" w:rsidR="00E933CB" w:rsidRDefault="00825B93">
            <w:pPr>
              <w:spacing w:after="0" w:line="259" w:lineRule="auto"/>
              <w:ind w:left="0" w:right="0" w:firstLine="0"/>
              <w:jc w:val="left"/>
            </w:pPr>
            <w:r>
              <w:t xml:space="preserve"> </w:t>
            </w:r>
          </w:p>
          <w:p w14:paraId="7096A205" w14:textId="77777777" w:rsidR="004A3CD3" w:rsidRDefault="006C0598">
            <w:pPr>
              <w:spacing w:after="0" w:line="259" w:lineRule="auto"/>
              <w:ind w:left="0" w:right="0" w:firstLine="0"/>
              <w:jc w:val="left"/>
            </w:pPr>
            <w:r>
              <w:t xml:space="preserve">to reduce or cause to be reduced the overall volume of annual greenhouse gas emissions from the Belgian territory in such a way as to achieve by 2025 a reduction of at least 48% compared to the level in 1990; </w:t>
            </w:r>
          </w:p>
        </w:tc>
      </w:tr>
      <w:tr w:rsidR="00E933CB" w14:paraId="2CB5A0AD" w14:textId="77777777">
        <w:trPr>
          <w:trHeight w:val="1434"/>
        </w:trPr>
        <w:tc>
          <w:tcPr>
            <w:tcW w:w="1034" w:type="dxa"/>
            <w:tcBorders>
              <w:top w:val="nil"/>
              <w:left w:val="single" w:sz="4" w:space="0" w:color="000000"/>
              <w:bottom w:val="single" w:sz="4" w:space="0" w:color="000000"/>
              <w:right w:val="nil"/>
            </w:tcBorders>
            <w:vAlign w:val="center"/>
          </w:tcPr>
          <w:p w14:paraId="727FCE2A" w14:textId="77777777" w:rsidR="004A3CD3" w:rsidRDefault="004A3CD3">
            <w:pPr>
              <w:spacing w:after="642" w:line="259" w:lineRule="auto"/>
              <w:ind w:left="444" w:right="0" w:firstLine="0"/>
              <w:jc w:val="center"/>
            </w:pPr>
          </w:p>
          <w:p w14:paraId="2C1520A3" w14:textId="77777777" w:rsidR="00E933CB" w:rsidRDefault="00825B93">
            <w:pPr>
              <w:spacing w:after="0" w:line="259" w:lineRule="auto"/>
              <w:ind w:left="427" w:right="0" w:firstLine="0"/>
              <w:jc w:val="center"/>
            </w:pPr>
            <w:r>
              <w:t xml:space="preserve"> </w:t>
            </w:r>
          </w:p>
        </w:tc>
        <w:tc>
          <w:tcPr>
            <w:tcW w:w="7886" w:type="dxa"/>
            <w:tcBorders>
              <w:top w:val="nil"/>
              <w:left w:val="nil"/>
              <w:bottom w:val="single" w:sz="4" w:space="0" w:color="000000"/>
              <w:right w:val="single" w:sz="4" w:space="0" w:color="000000"/>
            </w:tcBorders>
          </w:tcPr>
          <w:p w14:paraId="4191DEF6" w14:textId="77777777" w:rsidR="00E933CB" w:rsidRDefault="00825B93">
            <w:pPr>
              <w:spacing w:after="0" w:line="259" w:lineRule="auto"/>
              <w:ind w:left="0" w:right="0" w:firstLine="0"/>
              <w:jc w:val="left"/>
            </w:pPr>
            <w:r>
              <w:t xml:space="preserve"> </w:t>
            </w:r>
          </w:p>
          <w:p w14:paraId="142363BA" w14:textId="77777777" w:rsidR="004A3CD3" w:rsidRDefault="006C0598">
            <w:pPr>
              <w:spacing w:after="0" w:line="259" w:lineRule="auto"/>
              <w:ind w:left="0" w:right="0" w:firstLine="0"/>
              <w:jc w:val="left"/>
            </w:pPr>
            <w:r>
              <w:t xml:space="preserve">to reduce or cause to be reduced the overall volume of annual greenhouse gas emissions from the Belgian territory in such a way as to achieve in 2030 a reduction of at least 65% compared to the level in 1990.  </w:t>
            </w:r>
          </w:p>
        </w:tc>
      </w:tr>
    </w:tbl>
    <w:p w14:paraId="4EE1D8F9" w14:textId="77777777" w:rsidR="004A3CD3" w:rsidRDefault="006C0598">
      <w:pPr>
        <w:numPr>
          <w:ilvl w:val="0"/>
          <w:numId w:val="37"/>
        </w:numPr>
        <w:spacing w:after="269"/>
        <w:ind w:right="794" w:hanging="566"/>
      </w:pPr>
      <w:r>
        <w:t>Already in 2019, on the basis of the IPCC Special Report SR1.5°C of 2018, the above-mentioned Expert Group estimates that "</w:t>
      </w:r>
      <w:r>
        <w:rPr>
          <w:i/>
        </w:rPr>
        <w:t xml:space="preserve">in order to reach the 1.5°C limit, Belgium </w:t>
      </w:r>
      <w:r>
        <w:rPr>
          <w:b/>
          <w:i/>
        </w:rPr>
        <w:t xml:space="preserve">and Europe </w:t>
      </w:r>
      <w:r>
        <w:rPr>
          <w:i/>
        </w:rPr>
        <w:t xml:space="preserve">must aim for zero net CO2 emissions by </w:t>
      </w:r>
      <w:r>
        <w:rPr>
          <w:b/>
          <w:i/>
        </w:rPr>
        <w:t>2040</w:t>
      </w:r>
      <w:r>
        <w:rPr>
          <w:sz w:val="20"/>
          <w:vertAlign w:val="superscript"/>
        </w:rPr>
        <w:footnoteReference w:id="78"/>
      </w:r>
      <w:r>
        <w:t>"</w:t>
      </w:r>
      <w:r>
        <w:rPr>
          <w:sz w:val="20"/>
          <w:vertAlign w:val="superscript"/>
        </w:rPr>
        <w:footnoteReference w:id="79"/>
      </w:r>
      <w:r>
        <w:t>.</w:t>
      </w:r>
      <w:r>
        <w:rPr>
          <w:vertAlign w:val="subscript"/>
        </w:rPr>
        <w:t>2</w:t>
      </w:r>
      <w:r>
        <w:t xml:space="preserve"> As CO emissions </w:t>
      </w:r>
      <w:r>
        <w:rPr>
          <w:vertAlign w:val="subscript"/>
        </w:rPr>
        <w:t>2</w:t>
      </w:r>
      <w:r>
        <w:t>are only increasing, even in 2021, the global residual budget that allows us to respect with a useful probability the threshold of 1.5° or even the threshold "</w:t>
      </w:r>
      <w:r>
        <w:rPr>
          <w:i/>
        </w:rPr>
        <w:t>well below</w:t>
      </w:r>
      <w:r>
        <w:t xml:space="preserve">" 2°C, is decreasing more and more rapidly. Thus, the moment when zero net CO emissions will have to be reached </w:t>
      </w:r>
      <w:r>
        <w:rPr>
          <w:vertAlign w:val="subscript"/>
        </w:rPr>
        <w:t>2</w:t>
      </w:r>
      <w:r>
        <w:t xml:space="preserve">is getting closer and closer. As a result, the conclusion is that zero net GHG emissions in 2050 is not a standard of behaviour under Articles 2 and 8 of the ECHR and Article 1382 of the Civil Code. It is highly likely that this time horizon will be reviewed, in favour of a stricter time horizon. However, the 48% and 65% reductions to be achieved at least by 2025 and 2030 are still absolutely essential to preserve the chance of reaching zero net emissions in due course. This is one more reason why they are, without doubt, a </w:t>
      </w:r>
      <w:r>
        <w:rPr>
          <w:i/>
        </w:rPr>
        <w:t xml:space="preserve">minimum minimorum </w:t>
      </w:r>
      <w:r>
        <w:t xml:space="preserve">to be achieved. </w:t>
      </w:r>
    </w:p>
    <w:p w14:paraId="494DB747" w14:textId="77777777" w:rsidR="004A3CD3" w:rsidRDefault="006C0598">
      <w:pPr>
        <w:numPr>
          <w:ilvl w:val="0"/>
          <w:numId w:val="37"/>
        </w:numPr>
        <w:ind w:right="794" w:hanging="566"/>
      </w:pPr>
      <w:r>
        <w:t>As a complement, we add a graph showing the CO consumption</w:t>
      </w:r>
      <w:r>
        <w:rPr>
          <w:vertAlign w:val="subscript"/>
        </w:rPr>
        <w:t>2</w:t>
      </w:r>
      <w:r>
        <w:t xml:space="preserve"> of Belgium in the hypothesis that we would pursue a linear trajectory of emissions reduction over 2030 and 2050 similar to the one adopted by the European Union in its Climate Law of June 30, 2021</w:t>
      </w:r>
      <w:r>
        <w:rPr>
          <w:sz w:val="20"/>
          <w:vertAlign w:val="superscript"/>
        </w:rPr>
        <w:footnoteReference w:id="80"/>
      </w:r>
      <w:r>
        <w:t xml:space="preserve">, i.e. -55% in 2030 and net zero in 2050. It appears unequivocally that, under this trajectory, even if linear, the country's residual carbon budget will be largely exceeded. </w:t>
      </w:r>
    </w:p>
    <w:p w14:paraId="457CEB12" w14:textId="77777777" w:rsidR="00E933CB" w:rsidRDefault="00825B93">
      <w:pPr>
        <w:spacing w:after="55" w:line="259" w:lineRule="auto"/>
        <w:ind w:left="1030" w:right="0" w:firstLine="0"/>
        <w:jc w:val="left"/>
      </w:pPr>
      <w:r>
        <w:t xml:space="preserve"> </w:t>
      </w:r>
    </w:p>
    <w:p w14:paraId="6452E7EE" w14:textId="77777777" w:rsidR="00E933CB" w:rsidRDefault="00825B93">
      <w:pPr>
        <w:spacing w:after="21" w:line="259" w:lineRule="auto"/>
        <w:ind w:left="0" w:right="175" w:firstLine="0"/>
        <w:jc w:val="right"/>
      </w:pPr>
      <w:r>
        <w:rPr>
          <w:noProof/>
        </w:rPr>
        <w:lastRenderedPageBreak/>
        <w:drawing>
          <wp:inline distT="0" distB="0" distL="0" distR="0" wp14:anchorId="357EDE10" wp14:editId="5F19D8FD">
            <wp:extent cx="5669280" cy="2456180"/>
            <wp:effectExtent l="0" t="0" r="0" b="0"/>
            <wp:docPr id="10224" name="Picture 10224"/>
            <wp:cNvGraphicFramePr/>
            <a:graphic xmlns:a="http://schemas.openxmlformats.org/drawingml/2006/main">
              <a:graphicData uri="http://schemas.openxmlformats.org/drawingml/2006/picture">
                <pic:pic xmlns:pic="http://schemas.openxmlformats.org/drawingml/2006/picture">
                  <pic:nvPicPr>
                    <pic:cNvPr id="10224" name="Picture 10224"/>
                    <pic:cNvPicPr/>
                  </pic:nvPicPr>
                  <pic:blipFill>
                    <a:blip r:embed="rId50"/>
                    <a:stretch>
                      <a:fillRect/>
                    </a:stretch>
                  </pic:blipFill>
                  <pic:spPr>
                    <a:xfrm>
                      <a:off x="0" y="0"/>
                      <a:ext cx="5669280" cy="2456180"/>
                    </a:xfrm>
                    <a:prstGeom prst="rect">
                      <a:avLst/>
                    </a:prstGeom>
                  </pic:spPr>
                </pic:pic>
              </a:graphicData>
            </a:graphic>
          </wp:inline>
        </w:drawing>
      </w:r>
      <w:r>
        <w:t xml:space="preserve"> </w:t>
      </w:r>
    </w:p>
    <w:p w14:paraId="5B987FDC" w14:textId="77777777" w:rsidR="004A3CD3" w:rsidRDefault="006C0598">
      <w:pPr>
        <w:pStyle w:val="Heading2"/>
        <w:spacing w:after="208"/>
        <w:ind w:left="1025" w:right="0"/>
      </w:pPr>
      <w:bookmarkStart w:id="17" w:name="_Toc179584"/>
      <w:r>
        <w:rPr>
          <w:i/>
        </w:rPr>
        <w:t xml:space="preserve">Figure 17. </w:t>
      </w:r>
      <w:r>
        <w:t xml:space="preserve">Assumption of a linear reduction trajectory of 55% in 2030 and net zero in 2050 </w:t>
      </w:r>
      <w:bookmarkEnd w:id="17"/>
    </w:p>
    <w:p w14:paraId="046DF211" w14:textId="77777777" w:rsidR="00E933CB" w:rsidRDefault="00825B93">
      <w:pPr>
        <w:spacing w:after="252" w:line="259" w:lineRule="auto"/>
        <w:ind w:left="1030" w:right="0" w:firstLine="0"/>
        <w:jc w:val="left"/>
      </w:pPr>
      <w:r>
        <w:t xml:space="preserve"> </w:t>
      </w:r>
    </w:p>
    <w:p w14:paraId="08EC332C" w14:textId="77777777" w:rsidR="004A3CD3" w:rsidRDefault="006C0598">
      <w:pPr>
        <w:spacing w:after="139" w:line="335" w:lineRule="auto"/>
        <w:ind w:left="1015" w:right="2936" w:hanging="566"/>
        <w:jc w:val="left"/>
      </w:pPr>
      <w:r>
        <w:rPr>
          <w:b/>
          <w:i/>
        </w:rPr>
        <w:t xml:space="preserve">C. </w:t>
      </w:r>
      <w:r>
        <w:rPr>
          <w:b/>
          <w:i/>
          <w:u w:val="single" w:color="000000"/>
        </w:rPr>
        <w:t xml:space="preserve">In concreto, what has been the conduct of the Respondents?  </w:t>
      </w:r>
      <w:r>
        <w:rPr>
          <w:b/>
          <w:i/>
          <w:sz w:val="24"/>
          <w:u w:val="single" w:color="000000"/>
        </w:rPr>
        <w:t xml:space="preserve">For the past: 2020 </w:t>
      </w:r>
    </w:p>
    <w:p w14:paraId="6873CCEA" w14:textId="77777777" w:rsidR="004A3CD3" w:rsidRDefault="006C0598">
      <w:pPr>
        <w:spacing w:after="145"/>
        <w:ind w:left="1030" w:right="794" w:hanging="566"/>
      </w:pPr>
      <w:r>
        <w:t xml:space="preserve">118. Based on the GHG emission inventories that Belgium submits annually to the UNFCCC secretariat, the country's GHG emission reductions can be summarised as follows  </w:t>
      </w:r>
    </w:p>
    <w:p w14:paraId="3D89141C" w14:textId="77777777" w:rsidR="004A3CD3" w:rsidRDefault="006C0598">
      <w:pPr>
        <w:numPr>
          <w:ilvl w:val="0"/>
          <w:numId w:val="38"/>
        </w:numPr>
        <w:spacing w:after="63"/>
        <w:ind w:right="794"/>
      </w:pPr>
      <w:r>
        <w:t xml:space="preserve">2010 : -7,5% </w:t>
      </w:r>
    </w:p>
    <w:p w14:paraId="4ED54D9D" w14:textId="77777777" w:rsidR="004A3CD3" w:rsidRDefault="006C0598">
      <w:pPr>
        <w:numPr>
          <w:ilvl w:val="0"/>
          <w:numId w:val="38"/>
        </w:numPr>
        <w:spacing w:after="0" w:line="305" w:lineRule="auto"/>
        <w:ind w:right="794"/>
      </w:pPr>
      <w:r>
        <w:t xml:space="preserve">2011 : -16,4% - </w:t>
      </w:r>
      <w:r>
        <w:rPr>
          <w:rFonts w:ascii="Arial" w:eastAsia="Arial" w:hAnsi="Arial" w:cs="Arial"/>
        </w:rPr>
        <w:tab/>
      </w:r>
      <w:r>
        <w:t xml:space="preserve">2012 : -19% </w:t>
      </w:r>
    </w:p>
    <w:p w14:paraId="680F58E6" w14:textId="77777777" w:rsidR="004A3CD3" w:rsidRDefault="006C0598">
      <w:pPr>
        <w:numPr>
          <w:ilvl w:val="0"/>
          <w:numId w:val="38"/>
        </w:numPr>
        <w:spacing w:after="63"/>
        <w:ind w:right="794"/>
      </w:pPr>
      <w:r>
        <w:t xml:space="preserve">2014 : -23,5% </w:t>
      </w:r>
    </w:p>
    <w:p w14:paraId="2FD259BB" w14:textId="77777777" w:rsidR="004A3CD3" w:rsidRDefault="006C0598">
      <w:pPr>
        <w:numPr>
          <w:ilvl w:val="0"/>
          <w:numId w:val="38"/>
        </w:numPr>
        <w:spacing w:after="63"/>
        <w:ind w:right="794"/>
      </w:pPr>
      <w:r>
        <w:t xml:space="preserve">2015 : -19,7% </w:t>
      </w:r>
    </w:p>
    <w:p w14:paraId="33C91D2C" w14:textId="77777777" w:rsidR="004A3CD3" w:rsidRDefault="006C0598">
      <w:pPr>
        <w:numPr>
          <w:ilvl w:val="0"/>
          <w:numId w:val="38"/>
        </w:numPr>
        <w:spacing w:after="63"/>
        <w:ind w:right="794"/>
      </w:pPr>
      <w:r>
        <w:t xml:space="preserve">2016 : -19,2% </w:t>
      </w:r>
    </w:p>
    <w:p w14:paraId="4570EA57" w14:textId="77777777" w:rsidR="004A3CD3" w:rsidRDefault="006C0598">
      <w:pPr>
        <w:numPr>
          <w:ilvl w:val="0"/>
          <w:numId w:val="38"/>
        </w:numPr>
        <w:spacing w:after="240" w:line="304" w:lineRule="auto"/>
        <w:ind w:right="794"/>
      </w:pPr>
      <w:r>
        <w:t xml:space="preserve">2017 : -21,9% - 2018 :  -17,9% - 2019 : -18,8%. 119. Since 2007, Belgium, which has participated in and contributed to all the COP work and decisions, has known that a 25% reduction by 2020 was a </w:t>
      </w:r>
      <w:r>
        <w:rPr>
          <w:b/>
        </w:rPr>
        <w:t xml:space="preserve">strict minimum for Annex I countries in general </w:t>
      </w:r>
      <w:r>
        <w:t xml:space="preserve">in the light of knowledge at the time. It also knew that in the 25-40% range, its "share" was more in the 40% range, for the reasons mentioned above.  </w:t>
      </w:r>
    </w:p>
    <w:p w14:paraId="17DADEC7" w14:textId="77777777" w:rsidR="004A3CD3" w:rsidRDefault="006C0598">
      <w:pPr>
        <w:spacing w:after="230" w:line="248" w:lineRule="auto"/>
        <w:ind w:left="1040" w:right="791" w:hanging="10"/>
      </w:pPr>
      <w:r>
        <w:t xml:space="preserve">Far from doing so, Belgium has systematically placed itself on the side of mediocrity. The figures bear this out.  </w:t>
      </w:r>
    </w:p>
    <w:p w14:paraId="42A14399" w14:textId="77777777" w:rsidR="004A3CD3" w:rsidRDefault="006C0598">
      <w:pPr>
        <w:spacing w:line="248" w:lineRule="auto"/>
        <w:ind w:left="1040" w:right="791" w:hanging="10"/>
      </w:pPr>
      <w:r>
        <w:t xml:space="preserve">Worse still, it has constantly taken refuge behind the targets that the European Union has set for 2020. This was despite the fact that the European Union itself recognised the inadequacy of its targets. All the States Parties to the UNFCCC knew that these targets did not make it possible to achieve the ultimate goal of 2050. It was up to them, </w:t>
      </w:r>
      <w:r>
        <w:rPr>
          <w:b/>
        </w:rPr>
        <w:t xml:space="preserve">individually, </w:t>
      </w:r>
      <w:r>
        <w:t xml:space="preserve">to take the necessary measures to achieve it.  </w:t>
      </w:r>
    </w:p>
    <w:p w14:paraId="3FAB0D1D" w14:textId="77777777" w:rsidR="004A3CD3" w:rsidRDefault="006C0598">
      <w:pPr>
        <w:spacing w:line="248" w:lineRule="auto"/>
        <w:ind w:left="1040" w:right="791" w:hanging="10"/>
      </w:pPr>
      <w:r>
        <w:t xml:space="preserve">The figures also show that the emission reduction trajectory followed is not linear. On this point too, Belgium has placed itself on the side of mediocrity. </w:t>
      </w:r>
    </w:p>
    <w:p w14:paraId="2022E4C8" w14:textId="77777777" w:rsidR="004A3CD3" w:rsidRDefault="006C0598">
      <w:pPr>
        <w:spacing w:after="266" w:line="248" w:lineRule="auto"/>
        <w:ind w:left="1040" w:right="791" w:hanging="10"/>
      </w:pPr>
      <w:r>
        <w:t xml:space="preserve">The Belgian climate policy for 2020 is therefore in clear violation of the standard of conduct imposed by Articles 2 and 8 of the ECHR and Article 1382 of the Civil Code. </w:t>
      </w:r>
    </w:p>
    <w:p w14:paraId="75AF9EED" w14:textId="77777777" w:rsidR="004A3CD3" w:rsidRDefault="006C0598">
      <w:pPr>
        <w:numPr>
          <w:ilvl w:val="0"/>
          <w:numId w:val="39"/>
        </w:numPr>
        <w:spacing w:line="248" w:lineRule="auto"/>
        <w:ind w:right="794" w:hanging="566"/>
      </w:pPr>
      <w:r>
        <w:lastRenderedPageBreak/>
        <w:t xml:space="preserve">The judgment under appeal found that the Belgian authorities were at fault, basing themselves exclusively on the binding obligations to reduce GHG emissions enshrined in international, European and national/intra-Belgian climate law.  </w:t>
      </w:r>
    </w:p>
    <w:p w14:paraId="6D70D4DE" w14:textId="77777777" w:rsidR="004A3CD3" w:rsidRDefault="006C0598">
      <w:pPr>
        <w:ind w:left="1015" w:right="794"/>
      </w:pPr>
      <w:r>
        <w:t xml:space="preserve">In so doing, the Court of First Instance erred in law. The standard of conduct binding on the Belgian authorities is not the same as the standards of climate law referred to. It is defined in the light of the respondents' knowledge, for too long already, of the danger and of the concrete measures to be taken to avoid or limit that danger.  </w:t>
      </w:r>
    </w:p>
    <w:p w14:paraId="1CA342B6" w14:textId="77777777" w:rsidR="004A3CD3" w:rsidRDefault="006C0598">
      <w:pPr>
        <w:ind w:left="1015" w:right="794"/>
      </w:pPr>
      <w:r>
        <w:t xml:space="preserve">This knowledge is based on the best scientific knowledge on the subject, which has been included in the IPCC reports and has been explicitly adopted, supported and repeated by the world political community, including Belgium.  </w:t>
      </w:r>
    </w:p>
    <w:p w14:paraId="3E42EF8C" w14:textId="77777777" w:rsidR="004A3CD3" w:rsidRDefault="006C0598">
      <w:pPr>
        <w:spacing w:after="267"/>
        <w:ind w:left="1015" w:right="794"/>
      </w:pPr>
      <w:r>
        <w:t xml:space="preserve">This climate science is not in dispute. On the contrary, it is the subject of a particularly broad and established consensus within the international community and is the reference for all policy makers.  </w:t>
      </w:r>
    </w:p>
    <w:p w14:paraId="28ECA6E0" w14:textId="77777777" w:rsidR="004A3CD3" w:rsidRDefault="006C0598">
      <w:pPr>
        <w:numPr>
          <w:ilvl w:val="0"/>
          <w:numId w:val="39"/>
        </w:numPr>
        <w:spacing w:after="120" w:line="239" w:lineRule="auto"/>
        <w:ind w:right="794" w:hanging="566"/>
      </w:pPr>
      <w:r>
        <w:t xml:space="preserve">The climate emergency is here. Every additional particle of GHG in the atmosphere brings us closer to dangerous global warming, with points of no return. The behaviour of the parties involved must be analysed in the light of the serious danger that the inhabitants of Belgium, like the rest of humanity, are facing and the urgent need to act.  </w:t>
      </w:r>
    </w:p>
    <w:p w14:paraId="19CAB120" w14:textId="77777777" w:rsidR="00E933CB" w:rsidRDefault="00825B93">
      <w:pPr>
        <w:spacing w:after="98" w:line="259" w:lineRule="auto"/>
        <w:ind w:left="1030" w:right="0" w:firstLine="0"/>
        <w:jc w:val="left"/>
      </w:pPr>
      <w:r>
        <w:t xml:space="preserve"> </w:t>
      </w:r>
    </w:p>
    <w:p w14:paraId="0FF9D29F" w14:textId="77777777" w:rsidR="004A3CD3" w:rsidRDefault="006C0598">
      <w:pPr>
        <w:spacing w:after="264" w:line="248" w:lineRule="auto"/>
        <w:ind w:left="1040" w:right="787" w:hanging="10"/>
        <w:jc w:val="left"/>
      </w:pPr>
      <w:r>
        <w:rPr>
          <w:b/>
          <w:i/>
          <w:u w:val="single" w:color="000000"/>
        </w:rPr>
        <w:t xml:space="preserve">For the future: 2030 </w:t>
      </w:r>
    </w:p>
    <w:p w14:paraId="7E11E7DD" w14:textId="77777777" w:rsidR="004A3CD3" w:rsidRDefault="006C0598">
      <w:pPr>
        <w:numPr>
          <w:ilvl w:val="0"/>
          <w:numId w:val="39"/>
        </w:numPr>
        <w:spacing w:line="248" w:lineRule="auto"/>
        <w:ind w:right="794" w:hanging="566"/>
      </w:pPr>
      <w:r>
        <w:t xml:space="preserve">The behavioural standard based on the global residual CO budget </w:t>
      </w:r>
      <w:r>
        <w:rPr>
          <w:vertAlign w:val="subscript"/>
        </w:rPr>
        <w:t>2</w:t>
      </w:r>
      <w:r>
        <w:t xml:space="preserve">established by the </w:t>
      </w:r>
      <w:r>
        <w:rPr>
          <w:b/>
        </w:rPr>
        <w:t xml:space="preserve">IPCC </w:t>
      </w:r>
      <w:r>
        <w:t xml:space="preserve">on the basis of the threshold of dangerous warming anchored in the </w:t>
      </w:r>
      <w:r>
        <w:rPr>
          <w:b/>
        </w:rPr>
        <w:t>Paris Agreement</w:t>
      </w:r>
      <w:r>
        <w:t xml:space="preserve">, requires Belgium to reduce its GHG emissions by at least 65% by 2030, along a minimally linear trajectory, and this to preserve the possibility of reaching net zero emissions in due course, most likely before 2050. </w:t>
      </w:r>
    </w:p>
    <w:p w14:paraId="0FF8FBC7" w14:textId="77777777" w:rsidR="004A3CD3" w:rsidRDefault="006C0598">
      <w:pPr>
        <w:spacing w:line="248" w:lineRule="auto"/>
        <w:ind w:left="1040" w:right="791" w:hanging="10"/>
      </w:pPr>
      <w:r>
        <w:t xml:space="preserve">However, as things stand, there is no indication that the Respondents have taken steps to achieve this. On the contrary. There are serious and unequivocal indications that they are threatening to disregard the standard of conduct required of them under Articles 2 and 8 of the ECHR and Article 1382 of the Civil Code. </w:t>
      </w:r>
    </w:p>
    <w:p w14:paraId="5DDFC9BF" w14:textId="77777777" w:rsidR="004A3CD3" w:rsidRDefault="006C0598">
      <w:pPr>
        <w:spacing w:after="143"/>
        <w:ind w:left="1015" w:right="794"/>
      </w:pPr>
      <w:r>
        <w:t xml:space="preserve">At the level of political will, the following elements should be noted. </w:t>
      </w:r>
    </w:p>
    <w:p w14:paraId="6D4B9706" w14:textId="77777777" w:rsidR="004A3CD3" w:rsidRDefault="006C0598">
      <w:pPr>
        <w:numPr>
          <w:ilvl w:val="1"/>
          <w:numId w:val="39"/>
        </w:numPr>
        <w:spacing w:after="39"/>
        <w:ind w:right="794" w:hanging="360"/>
      </w:pPr>
      <w:r>
        <w:t xml:space="preserve">The </w:t>
      </w:r>
      <w:r>
        <w:rPr>
          <w:b/>
        </w:rPr>
        <w:t xml:space="preserve">Flemish Region </w:t>
      </w:r>
      <w:r>
        <w:t>has committed itself to a reduction of GHG emissions of 32.5% (compared to 1990) by 2030 within the framework of the outdated EU targets and the competent minister, Ms Demir, declared shortly before the Glasgow Summit (COP26, 31 October - 12 November 2021) that for Flanders, 35% would be the reduction target for 2030</w:t>
      </w:r>
      <w:r>
        <w:rPr>
          <w:sz w:val="20"/>
          <w:vertAlign w:val="superscript"/>
        </w:rPr>
        <w:footnoteReference w:id="81"/>
      </w:r>
      <w:r>
        <w:t xml:space="preserve">. This position was qualified shortly afterwards, in the middle of the Summit. The Flemish Government will aim for a </w:t>
      </w:r>
      <w:r>
        <w:rPr>
          <w:b/>
        </w:rPr>
        <w:t xml:space="preserve">40% </w:t>
      </w:r>
      <w:r>
        <w:t xml:space="preserve">reduction of GHG emissions </w:t>
      </w:r>
      <w:r>
        <w:rPr>
          <w:b/>
        </w:rPr>
        <w:t>by 2030</w:t>
      </w:r>
      <w:r>
        <w:t xml:space="preserve">.   </w:t>
      </w:r>
      <w:r>
        <w:rPr>
          <w:sz w:val="20"/>
          <w:vertAlign w:val="superscript"/>
        </w:rPr>
        <w:footnoteReference w:id="82"/>
      </w:r>
    </w:p>
    <w:p w14:paraId="07EDBDF0" w14:textId="77777777" w:rsidR="004A3CD3" w:rsidRDefault="006C0598">
      <w:pPr>
        <w:numPr>
          <w:ilvl w:val="1"/>
          <w:numId w:val="39"/>
        </w:numPr>
        <w:spacing w:after="41"/>
        <w:ind w:right="794" w:hanging="360"/>
      </w:pPr>
      <w:r>
        <w:t xml:space="preserve">The </w:t>
      </w:r>
      <w:r>
        <w:rPr>
          <w:b/>
        </w:rPr>
        <w:t xml:space="preserve">Walloon </w:t>
      </w:r>
      <w:r>
        <w:t xml:space="preserve">government is pursuing a </w:t>
      </w:r>
      <w:r>
        <w:rPr>
          <w:b/>
        </w:rPr>
        <w:t xml:space="preserve">55% </w:t>
      </w:r>
      <w:r>
        <w:t xml:space="preserve">reduction in GHG emissions (compared to 1990) by 2030. </w:t>
      </w:r>
      <w:r>
        <w:rPr>
          <w:sz w:val="20"/>
          <w:vertAlign w:val="superscript"/>
        </w:rPr>
        <w:footnoteReference w:id="83"/>
      </w:r>
      <w:r>
        <w:t xml:space="preserve"> The plan is being developed in two stages, the second of which will only be ready by the end of 2022. At the moment, the results that can already be envisaged amount to a reduction of </w:t>
      </w:r>
      <w:r>
        <w:rPr>
          <w:b/>
        </w:rPr>
        <w:t>37% by 2030</w:t>
      </w:r>
      <w:r>
        <w:t xml:space="preserve">.  </w:t>
      </w:r>
      <w:r>
        <w:rPr>
          <w:sz w:val="20"/>
          <w:vertAlign w:val="superscript"/>
        </w:rPr>
        <w:footnoteReference w:id="84"/>
      </w:r>
    </w:p>
    <w:p w14:paraId="469C644C" w14:textId="77777777" w:rsidR="004A3CD3" w:rsidRDefault="006C0598">
      <w:pPr>
        <w:numPr>
          <w:ilvl w:val="1"/>
          <w:numId w:val="39"/>
        </w:numPr>
        <w:spacing w:after="8"/>
        <w:ind w:right="794" w:hanging="360"/>
      </w:pPr>
      <w:r>
        <w:lastRenderedPageBreak/>
        <w:t xml:space="preserve">The </w:t>
      </w:r>
      <w:r>
        <w:rPr>
          <w:b/>
        </w:rPr>
        <w:t xml:space="preserve">Brussels-Capital </w:t>
      </w:r>
      <w:r>
        <w:t xml:space="preserve">Region committed itself in 2019 to reducing its emissions by at least </w:t>
      </w:r>
      <w:r>
        <w:rPr>
          <w:b/>
        </w:rPr>
        <w:t xml:space="preserve">40% </w:t>
      </w:r>
      <w:r>
        <w:t xml:space="preserve">(compared to 1990) </w:t>
      </w:r>
      <w:r>
        <w:rPr>
          <w:b/>
        </w:rPr>
        <w:t>by 2030</w:t>
      </w:r>
      <w:r>
        <w:t xml:space="preserve">. </w:t>
      </w:r>
      <w:r>
        <w:rPr>
          <w:sz w:val="20"/>
          <w:vertAlign w:val="superscript"/>
        </w:rPr>
        <w:footnoteReference w:id="85"/>
      </w:r>
      <w:r>
        <w:t xml:space="preserve"> This objective has been maintained to date.  </w:t>
      </w:r>
      <w:r>
        <w:rPr>
          <w:sz w:val="20"/>
          <w:vertAlign w:val="superscript"/>
        </w:rPr>
        <w:footnoteReference w:id="86"/>
      </w:r>
    </w:p>
    <w:p w14:paraId="78C095B7" w14:textId="77777777" w:rsidR="00E933CB" w:rsidRDefault="00825B93">
      <w:pPr>
        <w:spacing w:after="0" w:line="259" w:lineRule="auto"/>
        <w:ind w:left="1390" w:right="0" w:firstLine="0"/>
        <w:jc w:val="left"/>
      </w:pPr>
      <w:r>
        <w:t xml:space="preserve"> </w:t>
      </w:r>
    </w:p>
    <w:p w14:paraId="0F3C9315" w14:textId="77777777" w:rsidR="004A3CD3" w:rsidRDefault="006C0598">
      <w:pPr>
        <w:ind w:left="1390" w:right="794"/>
      </w:pPr>
      <w:r>
        <w:t xml:space="preserve">In terms of factual forecasts, we can only mention a recent report by the </w:t>
      </w:r>
      <w:r>
        <w:rPr>
          <w:b/>
        </w:rPr>
        <w:t>Federal Planning Bureau</w:t>
      </w:r>
      <w:r>
        <w:t xml:space="preserve">. This report sheds light on the temporary impact (2023-2026) of gas-fired power plants that will have to take over, to a certain extent, from the nuclear power plants that will be gradually closed. It projects that the country's GHG emissions will have decreased by </w:t>
      </w:r>
      <w:r>
        <w:rPr>
          <w:b/>
        </w:rPr>
        <w:t xml:space="preserve">17% from </w:t>
      </w:r>
      <w:r>
        <w:t xml:space="preserve">their 1990 level </w:t>
      </w:r>
      <w:r>
        <w:rPr>
          <w:b/>
        </w:rPr>
        <w:t>by 2026</w:t>
      </w:r>
      <w:r>
        <w:t xml:space="preserve">.  </w:t>
      </w:r>
      <w:r>
        <w:rPr>
          <w:sz w:val="20"/>
          <w:vertAlign w:val="superscript"/>
        </w:rPr>
        <w:footnoteReference w:id="87"/>
      </w:r>
      <w:r>
        <w:rPr>
          <w:b/>
        </w:rPr>
        <w:t xml:space="preserve">How do we </w:t>
      </w:r>
      <w:r>
        <w:t xml:space="preserve">get from there to </w:t>
      </w:r>
      <w:r>
        <w:rPr>
          <w:b/>
        </w:rPr>
        <w:t xml:space="preserve">65% by 2030? </w:t>
      </w:r>
    </w:p>
    <w:p w14:paraId="21E33B03" w14:textId="77777777" w:rsidR="004A3CD3" w:rsidRDefault="006C0598">
      <w:pPr>
        <w:spacing w:after="264" w:line="248" w:lineRule="auto"/>
        <w:ind w:left="1040" w:right="787" w:hanging="10"/>
        <w:jc w:val="left"/>
      </w:pPr>
      <w:r>
        <w:rPr>
          <w:b/>
          <w:i/>
          <w:u w:val="single" w:color="000000"/>
        </w:rPr>
        <w:t xml:space="preserve">In conclusion </w:t>
      </w:r>
    </w:p>
    <w:p w14:paraId="255BA647" w14:textId="77777777" w:rsidR="004A3CD3" w:rsidRDefault="006C0598">
      <w:pPr>
        <w:numPr>
          <w:ilvl w:val="0"/>
          <w:numId w:val="39"/>
        </w:numPr>
        <w:ind w:right="794" w:hanging="566"/>
      </w:pPr>
      <w:r>
        <w:t xml:space="preserve">It follows from the above that the respondents have not only violated the standard of conduct imposed by Articles 2 and 8 of the ECHR and Article 1382 of the Civil Code with respect to the </w:t>
      </w:r>
      <w:r>
        <w:rPr>
          <w:b/>
        </w:rPr>
        <w:t xml:space="preserve">2020 </w:t>
      </w:r>
      <w:r>
        <w:t xml:space="preserve">reduction targets, but that there is also no indication that they have taken and will take steps to remedy the situation </w:t>
      </w:r>
      <w:r>
        <w:rPr>
          <w:b/>
        </w:rPr>
        <w:t>by 2030</w:t>
      </w:r>
      <w:r>
        <w:t xml:space="preserve">. </w:t>
      </w:r>
    </w:p>
    <w:p w14:paraId="4806B082" w14:textId="77777777" w:rsidR="00E933CB" w:rsidRDefault="00825B93">
      <w:pPr>
        <w:spacing w:after="273" w:line="259" w:lineRule="auto"/>
        <w:ind w:left="1030" w:right="0" w:firstLine="0"/>
        <w:jc w:val="left"/>
      </w:pPr>
      <w:r>
        <w:t xml:space="preserve"> </w:t>
      </w:r>
    </w:p>
    <w:p w14:paraId="43AE4657" w14:textId="77777777" w:rsidR="004A3CD3" w:rsidRDefault="006C0598">
      <w:pPr>
        <w:spacing w:after="107" w:line="250" w:lineRule="auto"/>
        <w:ind w:left="463" w:right="787" w:firstLine="0"/>
      </w:pPr>
      <w:r>
        <w:rPr>
          <w:noProof/>
        </w:rPr>
        <w:drawing>
          <wp:inline distT="0" distB="0" distL="0" distR="0" wp14:anchorId="7DA63F31" wp14:editId="6DD34078">
            <wp:extent cx="198882" cy="105918"/>
            <wp:effectExtent l="0" t="0" r="0" b="0"/>
            <wp:docPr id="10655" name="Picture 10655"/>
            <wp:cNvGraphicFramePr/>
            <a:graphic xmlns:a="http://schemas.openxmlformats.org/drawingml/2006/main">
              <a:graphicData uri="http://schemas.openxmlformats.org/drawingml/2006/picture">
                <pic:pic xmlns:pic="http://schemas.openxmlformats.org/drawingml/2006/picture">
                  <pic:nvPicPr>
                    <pic:cNvPr id="10655" name="Picture 10655"/>
                    <pic:cNvPicPr/>
                  </pic:nvPicPr>
                  <pic:blipFill>
                    <a:blip r:embed="rId51"/>
                    <a:stretch>
                      <a:fillRect/>
                    </a:stretch>
                  </pic:blipFill>
                  <pic:spPr>
                    <a:xfrm>
                      <a:off x="0" y="0"/>
                      <a:ext cx="198882" cy="105918"/>
                    </a:xfrm>
                    <a:prstGeom prst="rect">
                      <a:avLst/>
                    </a:prstGeom>
                  </pic:spPr>
                </pic:pic>
              </a:graphicData>
            </a:graphic>
          </wp:inline>
        </w:drawing>
      </w:r>
      <w:r>
        <w:rPr>
          <w:b/>
          <w:sz w:val="24"/>
          <w:u w:val="single" w:color="000000"/>
        </w:rPr>
        <w:t xml:space="preserve"> Second grievance</w:t>
      </w:r>
      <w:r>
        <w:rPr>
          <w:b/>
          <w:sz w:val="24"/>
        </w:rPr>
        <w:t xml:space="preserve">:  </w:t>
      </w:r>
    </w:p>
    <w:p w14:paraId="0FCD4CA7" w14:textId="77777777" w:rsidR="004A3CD3" w:rsidRDefault="006C0598">
      <w:pPr>
        <w:spacing w:after="0" w:line="240" w:lineRule="auto"/>
        <w:ind w:left="1030" w:right="0" w:firstLine="0"/>
        <w:jc w:val="left"/>
      </w:pPr>
      <w:r>
        <w:rPr>
          <w:b/>
          <w:sz w:val="24"/>
          <w:u w:val="single" w:color="000000"/>
        </w:rPr>
        <w:t xml:space="preserve">In the present case, the judge can impose the requested emission reduction orders without violating the principle of separation of powers </w:t>
      </w:r>
    </w:p>
    <w:p w14:paraId="52025C5D" w14:textId="77777777" w:rsidR="004A3CD3" w:rsidRDefault="006C0598">
      <w:pPr>
        <w:spacing w:after="262" w:line="249" w:lineRule="auto"/>
        <w:ind w:left="459" w:right="789" w:hanging="10"/>
      </w:pPr>
      <w:r>
        <w:rPr>
          <w:b/>
        </w:rPr>
        <w:t xml:space="preserve">V.2.1 </w:t>
      </w:r>
      <w:r>
        <w:rPr>
          <w:b/>
          <w:u w:val="single" w:color="000000"/>
        </w:rPr>
        <w:t xml:space="preserve">Reminder and criticism of the judgment </w:t>
      </w:r>
    </w:p>
    <w:p w14:paraId="3F9E3061" w14:textId="77777777" w:rsidR="004A3CD3" w:rsidRDefault="006C0598">
      <w:pPr>
        <w:numPr>
          <w:ilvl w:val="0"/>
          <w:numId w:val="39"/>
        </w:numPr>
        <w:ind w:right="794" w:hanging="566"/>
      </w:pPr>
      <w:r>
        <w:t xml:space="preserve">The Tribunal stated at page 45 of the judgment </w:t>
      </w:r>
      <w:r>
        <w:rPr>
          <w:i/>
        </w:rPr>
        <w:t>a quo</w:t>
      </w:r>
      <w:r>
        <w:t xml:space="preserve">:  </w:t>
      </w:r>
    </w:p>
    <w:p w14:paraId="32B2D5DA" w14:textId="77777777" w:rsidR="004A3CD3" w:rsidRDefault="006C0598">
      <w:pPr>
        <w:spacing w:after="233"/>
        <w:ind w:left="1591" w:right="792" w:hanging="10"/>
      </w:pPr>
      <w:r>
        <w:rPr>
          <w:i/>
        </w:rPr>
        <w:t xml:space="preserve">The Court of Appeal has held that "it is settled that the judiciary has jurisdiction to prevent or remedy any wrongful infringement of a subjective right by a public authority in the exercise of its discretionary power". </w:t>
      </w:r>
    </w:p>
    <w:p w14:paraId="11C2D328" w14:textId="77777777" w:rsidR="004A3CD3" w:rsidRDefault="006C0598">
      <w:pPr>
        <w:spacing w:after="233" w:line="248" w:lineRule="auto"/>
        <w:ind w:left="1040" w:right="791" w:hanging="10"/>
      </w:pPr>
      <w:r>
        <w:t xml:space="preserve">It should be noted that the Tribunal did not challenge the principle of its power to issue injunctions. This point in the judgment under review must be retained.  </w:t>
      </w:r>
    </w:p>
    <w:p w14:paraId="7A2B5987" w14:textId="77777777" w:rsidR="004A3CD3" w:rsidRDefault="006C0598">
      <w:pPr>
        <w:spacing w:after="266" w:line="248" w:lineRule="auto"/>
        <w:ind w:left="1040" w:right="791" w:hanging="10"/>
      </w:pPr>
      <w:r>
        <w:t xml:space="preserve">On the other hand, it was with regard to the </w:t>
      </w:r>
      <w:r>
        <w:rPr>
          <w:b/>
        </w:rPr>
        <w:t xml:space="preserve">principle of the separation of powers </w:t>
      </w:r>
      <w:r>
        <w:t xml:space="preserve">that the Court of First Instance considered that the application for an injunction could not be granted. </w:t>
      </w:r>
    </w:p>
    <w:p w14:paraId="6C16927E" w14:textId="77777777" w:rsidR="004A3CD3" w:rsidRDefault="006C0598">
      <w:pPr>
        <w:numPr>
          <w:ilvl w:val="0"/>
          <w:numId w:val="39"/>
        </w:numPr>
        <w:spacing w:after="283" w:line="248" w:lineRule="auto"/>
        <w:ind w:right="794" w:hanging="566"/>
      </w:pPr>
      <w:r>
        <w:t xml:space="preserve">In fact, to justify its rejection of the application for injunctions, the Court of First Instance relied on the premise that "the judge cannot determine the content of the obligations of a public authority and thus deprive it of its discretion" without "infringing the principle of the separation of powers.  </w:t>
      </w:r>
      <w:r>
        <w:rPr>
          <w:sz w:val="20"/>
          <w:vertAlign w:val="superscript"/>
        </w:rPr>
        <w:footnoteReference w:id="88"/>
      </w:r>
      <w:r>
        <w:t xml:space="preserve">And again: "In other words, if the judiciary is competent to establish the fault committed by the public authority, even in the exercise of its discretionary power, it cannot, on this occasion, deprive the latter of its political freedom or substitute itself for it. The judiciary may not assess the appropriateness of the action of the public authority in the </w:t>
      </w:r>
      <w:r>
        <w:lastRenderedPageBreak/>
        <w:t xml:space="preserve">exercise of its jurisdiction, nor may it itself exercise the discretionary power that belongs to that public authority."  </w:t>
      </w:r>
      <w:r>
        <w:rPr>
          <w:sz w:val="20"/>
          <w:vertAlign w:val="superscript"/>
        </w:rPr>
        <w:footnoteReference w:id="89"/>
      </w:r>
    </w:p>
    <w:p w14:paraId="38FECEC1" w14:textId="77777777" w:rsidR="004A3CD3" w:rsidRDefault="006C0598">
      <w:pPr>
        <w:numPr>
          <w:ilvl w:val="0"/>
          <w:numId w:val="39"/>
        </w:numPr>
        <w:spacing w:after="253"/>
        <w:ind w:right="794" w:hanging="566"/>
      </w:pPr>
      <w:r>
        <w:t>Having set out that premise, the Tribunal undertakes to ascertain whether the injunctions sought do not lead it to substitute itself for the authorities in the exercise of a discretionary power and, in so doing, to violate the principle of the separation of powers</w:t>
      </w:r>
      <w:r>
        <w:rPr>
          <w:sz w:val="20"/>
          <w:vertAlign w:val="superscript"/>
        </w:rPr>
        <w:footnoteReference w:id="90"/>
      </w:r>
      <w:r>
        <w:t xml:space="preserve">.  </w:t>
      </w:r>
    </w:p>
    <w:p w14:paraId="224E9A02" w14:textId="77777777" w:rsidR="004A3CD3" w:rsidRDefault="006C0598">
      <w:pPr>
        <w:spacing w:after="233"/>
        <w:ind w:left="1015" w:right="794"/>
      </w:pPr>
      <w:r>
        <w:t xml:space="preserve">First, the Court of First Instance examines whether binding obligations under international, European or national climate law directly require Belgium to reduce GHG emissions from Belgian territory to the extent of the percentages covered by the injunctions sought. This is not the case.  </w:t>
      </w:r>
    </w:p>
    <w:p w14:paraId="3C76F4AD" w14:textId="77777777" w:rsidR="004A3CD3" w:rsidRDefault="006C0598">
      <w:pPr>
        <w:spacing w:after="252" w:line="248" w:lineRule="auto"/>
        <w:ind w:left="1040" w:right="791" w:hanging="10"/>
      </w:pPr>
      <w:r>
        <w:t>Second, the Tribunal considers the scientific argument that supports the requested injunctions, namely the Panel's report already mentioned in this application. The IPCC basis for this report, which roots it in the best available climate science validated by the entire world community, is not noted. On the other hand, the judgment insists that such a report does not constitute "</w:t>
      </w:r>
      <w:r>
        <w:rPr>
          <w:i/>
        </w:rPr>
        <w:t>a source of legally binding obligation</w:t>
      </w:r>
      <w:r>
        <w:t xml:space="preserve">".  </w:t>
      </w:r>
      <w:r>
        <w:rPr>
          <w:sz w:val="20"/>
          <w:vertAlign w:val="superscript"/>
        </w:rPr>
        <w:footnoteReference w:id="91"/>
      </w:r>
    </w:p>
    <w:p w14:paraId="3A95624C" w14:textId="77777777" w:rsidR="004A3CD3" w:rsidRDefault="006C0598">
      <w:pPr>
        <w:spacing w:line="248" w:lineRule="auto"/>
        <w:ind w:left="1040" w:right="791" w:hanging="10"/>
      </w:pPr>
      <w:r>
        <w:t>The conclusion that concludes all of the developments is that there is a discretionary power at issue in which the judiciary cannot interfere. The Court concludes: "</w:t>
      </w:r>
      <w:r>
        <w:rPr>
          <w:i/>
        </w:rPr>
        <w:t>The request for an injunction formulated by the plaintiffs will therefore be declared unfounded"</w:t>
      </w:r>
      <w:r>
        <w:rPr>
          <w:sz w:val="20"/>
          <w:vertAlign w:val="superscript"/>
        </w:rPr>
        <w:t xml:space="preserve"> </w:t>
      </w:r>
      <w:r>
        <w:rPr>
          <w:sz w:val="20"/>
          <w:vertAlign w:val="superscript"/>
        </w:rPr>
        <w:footnoteReference w:id="92"/>
      </w:r>
      <w:r>
        <w:t xml:space="preserve">. </w:t>
      </w:r>
    </w:p>
    <w:p w14:paraId="0FE8C219" w14:textId="77777777" w:rsidR="004A3CD3" w:rsidRDefault="006C0598">
      <w:pPr>
        <w:numPr>
          <w:ilvl w:val="0"/>
          <w:numId w:val="39"/>
        </w:numPr>
        <w:spacing w:after="233"/>
        <w:ind w:right="794" w:hanging="566"/>
      </w:pPr>
      <w:r>
        <w:t xml:space="preserve">The appellants consider that, in the present </w:t>
      </w:r>
      <w:r>
        <w:rPr>
          <w:b/>
        </w:rPr>
        <w:t xml:space="preserve">case, </w:t>
      </w:r>
      <w:r>
        <w:t xml:space="preserve">the principle of the separation of powers has been wrongly invoked; that the Tribunal should have declared itself competent to impose the injunctions sought. Indeed, contrary to the Tribunal's finding, these injunctions </w:t>
      </w:r>
      <w:r>
        <w:rPr>
          <w:b/>
        </w:rPr>
        <w:t xml:space="preserve">do not violate the principle of separation of powers, as </w:t>
      </w:r>
      <w:r>
        <w:t xml:space="preserve">will be demonstrated below.  </w:t>
      </w:r>
    </w:p>
    <w:p w14:paraId="6F6AED4E" w14:textId="77777777" w:rsidR="004A3CD3" w:rsidRDefault="006C0598">
      <w:pPr>
        <w:spacing w:after="266"/>
        <w:ind w:left="1015" w:right="794"/>
      </w:pPr>
      <w:r>
        <w:t xml:space="preserve">The appellants therefore ask the Court to remedy the wrongful infringement of their subjective rights and, consequently, to impose injunctions to reduce the GHG emissions emitted from Belgian territory.  </w:t>
      </w:r>
    </w:p>
    <w:p w14:paraId="741EBA53" w14:textId="77777777" w:rsidR="004A3CD3" w:rsidRDefault="006C0598">
      <w:pPr>
        <w:spacing w:after="262" w:line="249" w:lineRule="auto"/>
        <w:ind w:left="459" w:right="789" w:hanging="10"/>
      </w:pPr>
      <w:r>
        <w:rPr>
          <w:b/>
        </w:rPr>
        <w:t xml:space="preserve">V.2.2 </w:t>
      </w:r>
      <w:r>
        <w:rPr>
          <w:b/>
          <w:u w:val="single" w:color="000000"/>
        </w:rPr>
        <w:t xml:space="preserve">The applicable principles </w:t>
      </w:r>
    </w:p>
    <w:p w14:paraId="59DEFF0E" w14:textId="77777777" w:rsidR="004A3CD3" w:rsidRDefault="006C0598">
      <w:pPr>
        <w:numPr>
          <w:ilvl w:val="0"/>
          <w:numId w:val="39"/>
        </w:numPr>
        <w:spacing w:after="27"/>
        <w:ind w:right="794" w:hanging="566"/>
      </w:pPr>
      <w:r>
        <w:t xml:space="preserve">It will be explained in the following lines that the constitutional principle of the separation of powers does not interfere with the injunctive power of the judge insofar as :  </w:t>
      </w:r>
    </w:p>
    <w:p w14:paraId="5AEBB47F" w14:textId="77777777" w:rsidR="004A3CD3" w:rsidRDefault="006C0598">
      <w:pPr>
        <w:numPr>
          <w:ilvl w:val="1"/>
          <w:numId w:val="40"/>
        </w:numPr>
        <w:spacing w:after="58"/>
        <w:ind w:right="794" w:hanging="360"/>
      </w:pPr>
      <w:r>
        <w:t xml:space="preserve">The authorities have no discretion as to the principle of conduct, the measure imposed being the only one that can be taken to put an end to their illegal conduct; </w:t>
      </w:r>
    </w:p>
    <w:p w14:paraId="1F784202" w14:textId="77777777" w:rsidR="004A3CD3" w:rsidRDefault="006C0598">
      <w:pPr>
        <w:numPr>
          <w:ilvl w:val="1"/>
          <w:numId w:val="40"/>
        </w:numPr>
        <w:spacing w:after="60"/>
        <w:ind w:right="794" w:hanging="360"/>
      </w:pPr>
      <w:r>
        <w:t xml:space="preserve">The injunction merely imposes the principle of the conduct to be adopted, the public authority remaining free in the choice of enforcement measures; </w:t>
      </w:r>
    </w:p>
    <w:p w14:paraId="63890058" w14:textId="77777777" w:rsidR="004A3CD3" w:rsidRDefault="006C0598">
      <w:pPr>
        <w:numPr>
          <w:ilvl w:val="1"/>
          <w:numId w:val="40"/>
        </w:numPr>
        <w:spacing w:after="300" w:line="248" w:lineRule="auto"/>
        <w:ind w:right="794" w:hanging="360"/>
      </w:pPr>
      <w:r>
        <w:t xml:space="preserve">The injunction is intended to provide an effective remedy for the violation of fundamental rights enshrined in the ECHR and for the violation of rights protected by the Aarhus Convention. </w:t>
      </w:r>
    </w:p>
    <w:p w14:paraId="19DF23F6" w14:textId="77777777" w:rsidR="004A3CD3" w:rsidRDefault="006C0598">
      <w:pPr>
        <w:spacing w:after="274" w:line="239" w:lineRule="auto"/>
        <w:ind w:left="1030" w:right="803" w:hanging="566"/>
      </w:pPr>
      <w:r>
        <w:rPr>
          <w:b/>
          <w:i/>
        </w:rPr>
        <w:lastRenderedPageBreak/>
        <w:t xml:space="preserve">A. </w:t>
      </w:r>
      <w:r>
        <w:rPr>
          <w:b/>
          <w:i/>
          <w:u w:val="single" w:color="000000"/>
        </w:rPr>
        <w:t xml:space="preserve">The principle of separation of powers is not violated where the authorities have no discretion as to the principle of conduct to be adopted, the measure imposed being the only one that can be taken to put an end to their illegal conduct  </w:t>
      </w:r>
    </w:p>
    <w:p w14:paraId="20734EBD" w14:textId="77777777" w:rsidR="004A3CD3" w:rsidRDefault="006C0598">
      <w:pPr>
        <w:numPr>
          <w:ilvl w:val="0"/>
          <w:numId w:val="41"/>
        </w:numPr>
        <w:ind w:right="794" w:hanging="566"/>
      </w:pPr>
      <w:r>
        <w:t xml:space="preserve">In a judgment of 29 January 2021, the Dutch-speaking Court of First Instance in Brussels ruled as follows  </w:t>
      </w:r>
    </w:p>
    <w:p w14:paraId="02A06F3F" w14:textId="77777777" w:rsidR="004A3CD3" w:rsidRDefault="006C0598">
      <w:pPr>
        <w:ind w:left="1591" w:right="792" w:hanging="10"/>
      </w:pPr>
      <w:r>
        <w:rPr>
          <w:i/>
        </w:rPr>
        <w:t xml:space="preserve"> "The constitutional principle of separation of powers prohibits a judge from compelling the administration to take a certain action if it does not appear that this action is </w:t>
      </w:r>
      <w:r>
        <w:rPr>
          <w:b/>
          <w:i/>
        </w:rPr>
        <w:t xml:space="preserve">the only one that can be taken </w:t>
      </w:r>
      <w:r>
        <w:rPr>
          <w:i/>
        </w:rPr>
        <w:t xml:space="preserve">to remedy the injury in kind without violating the law." </w:t>
      </w:r>
      <w:r>
        <w:t>(free translation - emphasis added)</w:t>
      </w:r>
      <w:r>
        <w:rPr>
          <w:sz w:val="20"/>
          <w:vertAlign w:val="superscript"/>
        </w:rPr>
        <w:footnoteReference w:id="93"/>
      </w:r>
      <w:r>
        <w:t xml:space="preserve">. </w:t>
      </w:r>
    </w:p>
    <w:p w14:paraId="5FD87B68" w14:textId="77777777" w:rsidR="004A3CD3" w:rsidRDefault="006C0598">
      <w:pPr>
        <w:ind w:left="1015" w:right="794"/>
      </w:pPr>
      <w:r>
        <w:t xml:space="preserve">Already this court had ruled in the same direction.  In a decision of October 10, 2018, it indeed held that:  </w:t>
      </w:r>
    </w:p>
    <w:p w14:paraId="0F03357B" w14:textId="77777777" w:rsidR="004A3CD3" w:rsidRDefault="006C0598">
      <w:pPr>
        <w:ind w:left="1591" w:right="792" w:hanging="10"/>
      </w:pPr>
      <w:r>
        <w:rPr>
          <w:i/>
        </w:rPr>
        <w:t xml:space="preserve">  "The freedom of action of the regulatory authority must be respected, which means that the judge cannot oblige the authority to take (or not to take) a particular measure if it appears that this measure is not </w:t>
      </w:r>
      <w:r>
        <w:rPr>
          <w:b/>
          <w:i/>
        </w:rPr>
        <w:t xml:space="preserve">the only way for </w:t>
      </w:r>
      <w:r>
        <w:rPr>
          <w:i/>
        </w:rPr>
        <w:t xml:space="preserve">the authority </w:t>
      </w:r>
      <w:r>
        <w:rPr>
          <w:b/>
          <w:i/>
        </w:rPr>
        <w:t>to achieve legality</w:t>
      </w:r>
      <w:r>
        <w:rPr>
          <w:i/>
        </w:rPr>
        <w:t xml:space="preserve">" </w:t>
      </w:r>
      <w:r>
        <w:t>(free translation - emphasis added)</w:t>
      </w:r>
      <w:r>
        <w:rPr>
          <w:i/>
        </w:rPr>
        <w:t xml:space="preserve"> </w:t>
      </w:r>
      <w:r>
        <w:rPr>
          <w:sz w:val="20"/>
          <w:vertAlign w:val="superscript"/>
        </w:rPr>
        <w:footnoteReference w:id="94"/>
      </w:r>
      <w:r>
        <w:rPr>
          <w:i/>
        </w:rPr>
        <w:t xml:space="preserve">. </w:t>
      </w:r>
    </w:p>
    <w:p w14:paraId="09275AFF" w14:textId="77777777" w:rsidR="004A3CD3" w:rsidRDefault="006C0598">
      <w:pPr>
        <w:numPr>
          <w:ilvl w:val="0"/>
          <w:numId w:val="41"/>
        </w:numPr>
        <w:ind w:right="794" w:hanging="566"/>
      </w:pPr>
      <w:r>
        <w:t xml:space="preserve">These judgments echo the case law of the Court of Cassation.  </w:t>
      </w:r>
    </w:p>
    <w:p w14:paraId="45DA9BAA" w14:textId="77777777" w:rsidR="004A3CD3" w:rsidRDefault="006C0598">
      <w:pPr>
        <w:spacing w:after="229"/>
        <w:ind w:left="1015" w:right="794"/>
      </w:pPr>
      <w:r>
        <w:t xml:space="preserve">Thus, the Court held in a September 4, 2014 ruling that: </w:t>
      </w:r>
    </w:p>
    <w:p w14:paraId="6E9296FB" w14:textId="77777777" w:rsidR="004A3CD3" w:rsidRDefault="006C0598">
      <w:pPr>
        <w:spacing w:after="279"/>
        <w:ind w:left="1591" w:right="792" w:hanging="10"/>
      </w:pPr>
      <w:r>
        <w:rPr>
          <w:i/>
        </w:rPr>
        <w:t xml:space="preserve">"(...) when </w:t>
      </w:r>
      <w:r>
        <w:rPr>
          <w:b/>
          <w:i/>
        </w:rPr>
        <w:t xml:space="preserve">several legal solutions </w:t>
      </w:r>
      <w:r>
        <w:rPr>
          <w:i/>
        </w:rPr>
        <w:t xml:space="preserve">are possible to achieve reparation in kind, the judge </w:t>
      </w:r>
      <w:r>
        <w:rPr>
          <w:b/>
          <w:i/>
        </w:rPr>
        <w:t xml:space="preserve">cannot decide for the </w:t>
      </w:r>
      <w:r>
        <w:rPr>
          <w:i/>
        </w:rPr>
        <w:t xml:space="preserve">authority </w:t>
      </w:r>
      <w:r>
        <w:rPr>
          <w:b/>
          <w:i/>
        </w:rPr>
        <w:t xml:space="preserve">which </w:t>
      </w:r>
      <w:r>
        <w:rPr>
          <w:i/>
        </w:rPr>
        <w:t>of these solutions should be adopted; it is not for the judiciary to assess the desirability of adopting one of these solutions rather than the other; (...)</w:t>
      </w:r>
      <w:r>
        <w:t>"</w:t>
      </w:r>
      <w:r>
        <w:rPr>
          <w:sz w:val="20"/>
          <w:vertAlign w:val="superscript"/>
        </w:rPr>
        <w:t>103</w:t>
      </w:r>
      <w:r>
        <w:t xml:space="preserve">. </w:t>
      </w:r>
    </w:p>
    <w:p w14:paraId="08B70D4E" w14:textId="77777777" w:rsidR="004A3CD3" w:rsidRDefault="006C0598">
      <w:pPr>
        <w:spacing w:after="263" w:line="249" w:lineRule="auto"/>
        <w:ind w:left="1015" w:right="0" w:hanging="566"/>
        <w:jc w:val="left"/>
      </w:pPr>
      <w:r>
        <w:rPr>
          <w:b/>
          <w:i/>
        </w:rPr>
        <w:t xml:space="preserve">B. </w:t>
      </w:r>
      <w:r>
        <w:rPr>
          <w:rFonts w:ascii="Arial" w:eastAsia="Arial" w:hAnsi="Arial" w:cs="Arial"/>
          <w:b/>
          <w:i/>
        </w:rPr>
        <w:tab/>
      </w:r>
      <w:r>
        <w:rPr>
          <w:b/>
          <w:i/>
          <w:u w:val="single" w:color="000000"/>
        </w:rPr>
        <w:t xml:space="preserve">The principle of separation of powers is not violated when the judge imposes the principle of a behaviour to be adopted without specifying the measures of execution </w:t>
      </w:r>
    </w:p>
    <w:p w14:paraId="71860F06" w14:textId="77777777" w:rsidR="004A3CD3" w:rsidRDefault="006C0598">
      <w:pPr>
        <w:numPr>
          <w:ilvl w:val="0"/>
          <w:numId w:val="42"/>
        </w:numPr>
        <w:spacing w:after="284"/>
        <w:ind w:right="794" w:hanging="566"/>
      </w:pPr>
      <w:r>
        <w:t xml:space="preserve">The doctrine emphasizes that the existence of a discretionary power on the part of the public authority "does not absolutely prevent an injunction from being issued. The latter may concern </w:t>
      </w:r>
      <w:r>
        <w:rPr>
          <w:b/>
        </w:rPr>
        <w:t xml:space="preserve">only the principle </w:t>
      </w:r>
      <w:r>
        <w:t xml:space="preserve">of a behaviour to be adopted, the condemned administration determining </w:t>
      </w:r>
      <w:r>
        <w:rPr>
          <w:b/>
        </w:rPr>
        <w:t>the modalities of execution</w:t>
      </w:r>
      <w:r>
        <w:t>"</w:t>
      </w:r>
      <w:r>
        <w:rPr>
          <w:sz w:val="20"/>
          <w:vertAlign w:val="superscript"/>
        </w:rPr>
        <w:t>104</w:t>
      </w:r>
      <w:r>
        <w:t xml:space="preserve">. </w:t>
      </w:r>
    </w:p>
    <w:p w14:paraId="3EFB4108" w14:textId="77777777" w:rsidR="004A3CD3" w:rsidRDefault="006C0598">
      <w:pPr>
        <w:numPr>
          <w:ilvl w:val="0"/>
          <w:numId w:val="42"/>
        </w:numPr>
        <w:spacing w:after="267"/>
        <w:ind w:right="794" w:hanging="566"/>
      </w:pPr>
      <w:r>
        <w:t>Indeed, it is established case law of the Court of Cassation that the principle of the separation of powers would be violated where the judge requires the legislative/executive power to take certain measures</w:t>
      </w:r>
      <w:r>
        <w:rPr>
          <w:b/>
        </w:rPr>
        <w:t>, specifying what type of measures they are and what their content should be</w:t>
      </w:r>
      <w:r>
        <w:t xml:space="preserve">.  </w:t>
      </w:r>
    </w:p>
    <w:p w14:paraId="47FAA074" w14:textId="77777777" w:rsidR="004A3CD3" w:rsidRDefault="006C0598">
      <w:pPr>
        <w:numPr>
          <w:ilvl w:val="0"/>
          <w:numId w:val="42"/>
        </w:numPr>
        <w:spacing w:after="0"/>
        <w:ind w:right="794" w:hanging="566"/>
      </w:pPr>
      <w:r>
        <w:t xml:space="preserve">Thus, in a decision of 4 March 2004, the Court of Cassation explained the violation of the principle of the separation of powers by the precision and detail with which the judge condemned the public authorities to act:    </w:t>
      </w:r>
    </w:p>
    <w:p w14:paraId="74EA6618" w14:textId="77777777" w:rsidR="004A3CD3" w:rsidRDefault="006C0598">
      <w:pPr>
        <w:spacing w:after="1" w:line="242" w:lineRule="auto"/>
        <w:ind w:left="1591" w:right="788" w:hanging="10"/>
      </w:pPr>
      <w:r>
        <w:rPr>
          <w:b/>
          <w:i/>
        </w:rPr>
        <w:lastRenderedPageBreak/>
        <w:t>"...</w:t>
      </w:r>
      <w:r>
        <w:rPr>
          <w:i/>
        </w:rPr>
        <w:t xml:space="preserve">] </w:t>
      </w:r>
      <w:r>
        <w:rPr>
          <w:b/>
          <w:i/>
        </w:rPr>
        <w:t>by determining in a precise and technically detailed manner in the operative part of the decision in which the public authorities can avoid infringement of the defendants' subjective rights</w:t>
      </w:r>
      <w:r>
        <w:rPr>
          <w:i/>
        </w:rPr>
        <w:t>, the judges of appeal substituted themselves for the executive power and thus violated the constitutional principle of the separation of powers</w:t>
      </w:r>
      <w:r>
        <w:rPr>
          <w:vertAlign w:val="superscript"/>
        </w:rPr>
        <w:t>105</w:t>
      </w:r>
      <w:r>
        <w:t xml:space="preserve">. </w:t>
      </w:r>
    </w:p>
    <w:p w14:paraId="5F5B8C65" w14:textId="77777777" w:rsidR="00E933CB" w:rsidRDefault="00825B93">
      <w:pPr>
        <w:spacing w:after="0" w:line="259" w:lineRule="auto"/>
        <w:ind w:left="464" w:right="0" w:firstLine="0"/>
        <w:jc w:val="left"/>
      </w:pPr>
      <w:r>
        <w:t xml:space="preserve"> </w:t>
      </w:r>
    </w:p>
    <w:p w14:paraId="5625EB43" w14:textId="77777777" w:rsidR="004A3CD3" w:rsidRDefault="006C0598">
      <w:pPr>
        <w:spacing w:after="11"/>
        <w:ind w:left="1015" w:right="794"/>
      </w:pPr>
      <w:r>
        <w:t xml:space="preserve">The Cour de Cassation (French Supreme Court) agrees with this in a decision dated 3 January 2008:   </w:t>
      </w:r>
    </w:p>
    <w:p w14:paraId="07BF4AC0" w14:textId="77777777" w:rsidR="00E933CB" w:rsidRDefault="00825B93">
      <w:pPr>
        <w:spacing w:after="0" w:line="259" w:lineRule="auto"/>
        <w:ind w:left="464" w:right="0" w:firstLine="0"/>
        <w:jc w:val="left"/>
      </w:pPr>
      <w:r>
        <w:t xml:space="preserve"> </w:t>
      </w:r>
    </w:p>
    <w:p w14:paraId="50A36052" w14:textId="77777777" w:rsidR="004A3CD3" w:rsidRDefault="006C0598">
      <w:pPr>
        <w:spacing w:after="0"/>
        <w:ind w:left="1591" w:right="792" w:hanging="10"/>
      </w:pPr>
      <w:r>
        <w:t>"</w:t>
      </w:r>
      <w:r>
        <w:rPr>
          <w:i/>
        </w:rPr>
        <w:t xml:space="preserve">The judiciary has no business interfering in the assessment of the appropriateness of the administrative decision on the dispersal of aircraft flights, nor in substituting its own decision for that of the authorities. </w:t>
      </w:r>
    </w:p>
    <w:p w14:paraId="26B308F3" w14:textId="77777777" w:rsidR="004A3CD3" w:rsidRDefault="006C0598">
      <w:pPr>
        <w:spacing w:after="1" w:line="242" w:lineRule="auto"/>
        <w:ind w:left="1591" w:right="788" w:hanging="10"/>
      </w:pPr>
      <w:r>
        <w:rPr>
          <w:b/>
          <w:i/>
        </w:rPr>
        <w:t>By ordering the authorities to intervene in this case and by laying down the criteria on the basis of which that intervention should take place</w:t>
      </w:r>
      <w:r>
        <w:rPr>
          <w:i/>
        </w:rPr>
        <w:t xml:space="preserve">, the appeal judges unlawfully substituted their assessment for that of the applicant. </w:t>
      </w:r>
    </w:p>
    <w:p w14:paraId="3D6B1FFA" w14:textId="77777777" w:rsidR="004A3CD3" w:rsidRDefault="006C0598">
      <w:pPr>
        <w:spacing w:after="696"/>
        <w:ind w:left="1591" w:right="792" w:hanging="10"/>
      </w:pPr>
      <w:r>
        <w:rPr>
          <w:b/>
          <w:i/>
        </w:rPr>
        <w:t>In determining the manner in which the authorities are to intervene in order to determine the policy relating to the national airport</w:t>
      </w:r>
      <w:r>
        <w:rPr>
          <w:i/>
        </w:rPr>
        <w:t>, the judgment under appeal infringes the general legal principle of the separation of powers and all the provisions relied on in the plea</w:t>
      </w:r>
      <w:r>
        <w:rPr>
          <w:vertAlign w:val="superscript"/>
        </w:rPr>
        <w:t>106</w:t>
      </w:r>
      <w:r>
        <w:t xml:space="preserve">. </w:t>
      </w:r>
    </w:p>
    <w:p w14:paraId="51B6A185" w14:textId="77777777" w:rsidR="00E933CB" w:rsidRDefault="00825B93">
      <w:pPr>
        <w:spacing w:after="62" w:line="259" w:lineRule="auto"/>
        <w:ind w:left="1030" w:right="0" w:firstLine="0"/>
        <w:jc w:val="left"/>
      </w:pPr>
      <w:r>
        <w:rPr>
          <w:strike/>
        </w:rPr>
        <w:t xml:space="preserve">                                                         </w:t>
      </w:r>
      <w:r>
        <w:t xml:space="preserve"> </w:t>
      </w:r>
    </w:p>
    <w:p w14:paraId="665F5424" w14:textId="77777777" w:rsidR="004A3CD3" w:rsidRDefault="006C0598">
      <w:pPr>
        <w:spacing w:after="117" w:line="241" w:lineRule="auto"/>
        <w:ind w:left="1030" w:right="46" w:firstLine="0"/>
        <w:jc w:val="left"/>
      </w:pPr>
      <w:r>
        <w:rPr>
          <w:i/>
          <w:sz w:val="18"/>
        </w:rPr>
        <w:t xml:space="preserve">nemen wanneer blijkt dat die maatregel niet de enige wijze is waarmee de overheid de wettelijkheid kan realiseren </w:t>
      </w:r>
      <w:r>
        <w:rPr>
          <w:sz w:val="18"/>
        </w:rPr>
        <w:t xml:space="preserve">". </w:t>
      </w:r>
    </w:p>
    <w:p w14:paraId="722BC756" w14:textId="77777777" w:rsidR="004A3CD3" w:rsidRDefault="006C0598">
      <w:pPr>
        <w:numPr>
          <w:ilvl w:val="0"/>
          <w:numId w:val="43"/>
        </w:numPr>
        <w:spacing w:after="96" w:line="260" w:lineRule="auto"/>
        <w:ind w:right="287" w:hanging="283"/>
        <w:jc w:val="left"/>
      </w:pPr>
      <w:r>
        <w:rPr>
          <w:sz w:val="18"/>
        </w:rPr>
        <w:t xml:space="preserve">Cass. C.12.0535.F of 4 September 2014 available </w:t>
      </w:r>
      <w:hyperlink r:id="rId52">
        <w:r>
          <w:rPr>
            <w:sz w:val="18"/>
          </w:rPr>
          <w:t xml:space="preserve">at </w:t>
        </w:r>
      </w:hyperlink>
      <w:hyperlink r:id="rId53">
        <w:r>
          <w:rPr>
            <w:sz w:val="18"/>
          </w:rPr>
          <w:t xml:space="preserve">http://jure.juridat.just.fgov.be  </w:t>
        </w:r>
      </w:hyperlink>
    </w:p>
    <w:p w14:paraId="148B1B6A" w14:textId="77777777" w:rsidR="004A3CD3" w:rsidRDefault="006C0598">
      <w:pPr>
        <w:numPr>
          <w:ilvl w:val="0"/>
          <w:numId w:val="43"/>
        </w:numPr>
        <w:spacing w:after="99" w:line="260" w:lineRule="auto"/>
        <w:ind w:right="287" w:hanging="283"/>
        <w:jc w:val="left"/>
      </w:pPr>
      <w:r>
        <w:rPr>
          <w:sz w:val="18"/>
        </w:rPr>
        <w:t xml:space="preserve">B. JADOT, "Les pouvoirs du juge judiciaire à l'égard de l'administration: le pouvoir d'injonction et la réparation en nature" in </w:t>
      </w:r>
      <w:r>
        <w:rPr>
          <w:i/>
          <w:sz w:val="18"/>
        </w:rPr>
        <w:t>La responsabilité des pouvoirs publics</w:t>
      </w:r>
      <w:r>
        <w:rPr>
          <w:sz w:val="18"/>
        </w:rPr>
        <w:t xml:space="preserve">, Brussels, Bruylant, 1991, pp.450 and 452. </w:t>
      </w:r>
    </w:p>
    <w:p w14:paraId="37A77E03" w14:textId="77777777" w:rsidR="004A3CD3" w:rsidRDefault="006C0598">
      <w:pPr>
        <w:numPr>
          <w:ilvl w:val="0"/>
          <w:numId w:val="43"/>
        </w:numPr>
        <w:spacing w:after="112" w:line="260" w:lineRule="auto"/>
        <w:ind w:right="287" w:hanging="283"/>
        <w:jc w:val="left"/>
      </w:pPr>
      <w:r>
        <w:rPr>
          <w:sz w:val="18"/>
        </w:rPr>
        <w:t xml:space="preserve">Cass. (1st ch.), 4 March 2004, R.G. n° C.03.0346.N;C.03.0448.N.    </w:t>
      </w:r>
    </w:p>
    <w:p w14:paraId="2F99FE06" w14:textId="77777777" w:rsidR="004A3CD3" w:rsidRDefault="006C0598">
      <w:pPr>
        <w:numPr>
          <w:ilvl w:val="0"/>
          <w:numId w:val="43"/>
        </w:numPr>
        <w:spacing w:after="3" w:line="260" w:lineRule="auto"/>
        <w:ind w:right="287" w:hanging="283"/>
        <w:jc w:val="left"/>
      </w:pPr>
      <w:r>
        <w:rPr>
          <w:sz w:val="18"/>
        </w:rPr>
        <w:t xml:space="preserve">Cass. 3 January 2008, R.G. n° C.06.0322.N.  </w:t>
      </w:r>
    </w:p>
    <w:p w14:paraId="41B30A37" w14:textId="77777777" w:rsidR="004A3CD3" w:rsidRDefault="006C0598">
      <w:pPr>
        <w:spacing w:after="266" w:line="248" w:lineRule="auto"/>
        <w:ind w:left="1040" w:right="791" w:hanging="10"/>
      </w:pPr>
      <w:r>
        <w:t>In a judgment of 27 October 2006</w:t>
      </w:r>
      <w:r>
        <w:rPr>
          <w:vertAlign w:val="superscript"/>
        </w:rPr>
        <w:footnoteReference w:id="95"/>
      </w:r>
      <w:r>
        <w:t xml:space="preserve">, the Court held that the judiciary may order the executive to make good damage caused by its negligence without depriving the executive of its freedom of appreciation as to the measures to be adopted to make good the damage. </w:t>
      </w:r>
    </w:p>
    <w:p w14:paraId="0C9BB840" w14:textId="77777777" w:rsidR="004A3CD3" w:rsidRDefault="006C0598">
      <w:pPr>
        <w:ind w:left="1030" w:right="794" w:hanging="566"/>
      </w:pPr>
      <w:r>
        <w:t>134. The lower courts and tribunals follow this jurisprudence. The Court of First Instance of Liège, for example, ruling on the overcrowding of the Lantin prison, retained the same premises in its judgment of 9 October 2018</w:t>
      </w:r>
      <w:r>
        <w:rPr>
          <w:sz w:val="20"/>
          <w:vertAlign w:val="superscript"/>
        </w:rPr>
        <w:footnoteReference w:id="96"/>
      </w:r>
      <w:r>
        <w:t xml:space="preserve">:  </w:t>
      </w:r>
    </w:p>
    <w:p w14:paraId="4CF821AD" w14:textId="77777777" w:rsidR="004A3CD3" w:rsidRDefault="006C0598">
      <w:pPr>
        <w:spacing w:after="267"/>
        <w:ind w:left="1591" w:right="792" w:hanging="10"/>
      </w:pPr>
      <w:r>
        <w:rPr>
          <w:i/>
        </w:rPr>
        <w:t>The Court of Appeal has held that "</w:t>
      </w:r>
      <w:r>
        <w:rPr>
          <w:b/>
          <w:i/>
        </w:rPr>
        <w:t xml:space="preserve">while the State may be required to take measures </w:t>
      </w:r>
      <w:r>
        <w:rPr>
          <w:i/>
        </w:rPr>
        <w:t xml:space="preserve">to reduce (such overcrowding), it is </w:t>
      </w:r>
      <w:r>
        <w:rPr>
          <w:b/>
          <w:i/>
        </w:rPr>
        <w:t xml:space="preserve">for the State to decide what measures </w:t>
      </w:r>
      <w:r>
        <w:rPr>
          <w:i/>
        </w:rPr>
        <w:t xml:space="preserve">it will adopt to that end. In a somewhat caricatured but nonetheless real way, there is nothing that allows a court to impose on the State, in order to achieve this, legislative changes tending to reduce the number of prisoners rather than to increase the capacity of prison establishments".  </w:t>
      </w:r>
    </w:p>
    <w:p w14:paraId="6630CD0D" w14:textId="77777777" w:rsidR="004A3CD3" w:rsidRDefault="006C0598">
      <w:pPr>
        <w:spacing w:after="264" w:line="248" w:lineRule="auto"/>
        <w:ind w:left="1015" w:right="787" w:hanging="566"/>
        <w:jc w:val="left"/>
      </w:pPr>
      <w:r>
        <w:rPr>
          <w:b/>
          <w:i/>
        </w:rPr>
        <w:t xml:space="preserve">C. </w:t>
      </w:r>
      <w:r>
        <w:rPr>
          <w:b/>
          <w:i/>
          <w:u w:val="single" w:color="000000"/>
        </w:rPr>
        <w:t xml:space="preserve">Injunctions are intended to provide an effective remedy for the violation of fundamental rights enshrined in the ECHR and for the violation of rights protected by the Aarhus Convention </w:t>
      </w:r>
    </w:p>
    <w:p w14:paraId="79375871" w14:textId="77777777" w:rsidR="004A3CD3" w:rsidRDefault="006C0598">
      <w:pPr>
        <w:spacing w:after="1"/>
        <w:ind w:left="1030" w:right="794" w:hanging="566"/>
      </w:pPr>
      <w:r>
        <w:lastRenderedPageBreak/>
        <w:t xml:space="preserve">135. In the present case, the judgment </w:t>
      </w:r>
      <w:r>
        <w:rPr>
          <w:i/>
        </w:rPr>
        <w:t xml:space="preserve">a quo </w:t>
      </w:r>
      <w:r>
        <w:t xml:space="preserve">found that the applicants' fundamental rights, in particular Articles 2 and 8 of the ECHR, were violated.  </w:t>
      </w:r>
    </w:p>
    <w:p w14:paraId="5B48D665" w14:textId="77777777" w:rsidR="004A3CD3" w:rsidRDefault="006C0598">
      <w:pPr>
        <w:spacing w:after="2"/>
        <w:ind w:left="1040" w:right="792" w:hanging="10"/>
      </w:pPr>
      <w:r>
        <w:t>It should be recalled that Article 1</w:t>
      </w:r>
      <w:r>
        <w:rPr>
          <w:vertAlign w:val="superscript"/>
        </w:rPr>
        <w:t>er</w:t>
      </w:r>
      <w:r>
        <w:rPr>
          <w:i/>
        </w:rPr>
        <w:t xml:space="preserve"> </w:t>
      </w:r>
      <w:r>
        <w:t>of the ECHR provides that "</w:t>
      </w:r>
      <w:r>
        <w:rPr>
          <w:i/>
        </w:rPr>
        <w:t>States shall secure to everyone within their jurisdiction the rights and freedoms defined in Section I of the Convention</w:t>
      </w:r>
      <w:r>
        <w:t xml:space="preserve">". </w:t>
      </w:r>
    </w:p>
    <w:p w14:paraId="1455B789" w14:textId="77777777" w:rsidR="00E933CB" w:rsidRDefault="00825B93">
      <w:pPr>
        <w:spacing w:after="0" w:line="259" w:lineRule="auto"/>
        <w:ind w:left="1030" w:right="0" w:firstLine="0"/>
        <w:jc w:val="left"/>
      </w:pPr>
      <w:r>
        <w:t xml:space="preserve"> </w:t>
      </w:r>
    </w:p>
    <w:p w14:paraId="376ECA41" w14:textId="77777777" w:rsidR="004A3CD3" w:rsidRDefault="006C0598">
      <w:pPr>
        <w:spacing w:after="6"/>
        <w:ind w:left="1040" w:right="792" w:hanging="10"/>
      </w:pPr>
      <w:r>
        <w:rPr>
          <w:i/>
        </w:rPr>
        <w:t xml:space="preserve">There is </w:t>
      </w:r>
      <w:r>
        <w:t>no doubt that national judges are the primary guarantors of respect for the rights enshrined in the ECHR. According to the European Court of Human Rights, "</w:t>
      </w:r>
      <w:r>
        <w:rPr>
          <w:i/>
        </w:rPr>
        <w:t>the courts must examine rigorously the pleas relating to the 'rights and freedoms' guaranteed by the Convention before them and this is a corollary of the principle of subsidiarity</w:t>
      </w:r>
      <w:r>
        <w:t>"</w:t>
      </w:r>
      <w:r>
        <w:rPr>
          <w:vertAlign w:val="superscript"/>
        </w:rPr>
        <w:footnoteReference w:id="97"/>
      </w:r>
      <w:r>
        <w:t xml:space="preserve">.  </w:t>
      </w:r>
    </w:p>
    <w:p w14:paraId="3051DE08" w14:textId="77777777" w:rsidR="00E933CB" w:rsidRDefault="00825B93">
      <w:pPr>
        <w:spacing w:after="0" w:line="259" w:lineRule="auto"/>
        <w:ind w:left="1030" w:right="0" w:firstLine="0"/>
        <w:jc w:val="left"/>
      </w:pPr>
      <w:r>
        <w:t xml:space="preserve"> </w:t>
      </w:r>
    </w:p>
    <w:p w14:paraId="4FBF9825" w14:textId="77777777" w:rsidR="004A3CD3" w:rsidRDefault="006C0598">
      <w:pPr>
        <w:ind w:left="1015" w:right="794"/>
      </w:pPr>
      <w:r>
        <w:t xml:space="preserve">The Belgian doctrine recalls in this sense that : </w:t>
      </w:r>
    </w:p>
    <w:p w14:paraId="043CA8F9" w14:textId="77777777" w:rsidR="004A3CD3" w:rsidRDefault="006C0598">
      <w:pPr>
        <w:spacing w:after="287"/>
        <w:ind w:left="1591" w:right="792" w:hanging="10"/>
      </w:pPr>
      <w:r>
        <w:rPr>
          <w:i/>
        </w:rPr>
        <w:t>"The national judge, because of his geographical proximity, is best placed to offer the most adequate protection of the fundamental rights at issue before him. G. Rosoux argues that ''national protection must thus precede international protection''</w:t>
      </w:r>
      <w:r>
        <w:rPr>
          <w:sz w:val="20"/>
          <w:vertAlign w:val="superscript"/>
        </w:rPr>
        <w:footnoteReference w:id="98"/>
      </w:r>
      <w:r>
        <w:t xml:space="preserve">.  </w:t>
      </w:r>
    </w:p>
    <w:p w14:paraId="262B10A8" w14:textId="77777777" w:rsidR="004A3CD3" w:rsidRDefault="006C0598">
      <w:pPr>
        <w:numPr>
          <w:ilvl w:val="0"/>
          <w:numId w:val="44"/>
        </w:numPr>
        <w:spacing w:after="267"/>
        <w:ind w:right="792" w:hanging="566"/>
      </w:pPr>
      <w:r>
        <w:t>We should also recall Article 13 of the ECHR, which enshrines the "</w:t>
      </w:r>
      <w:r>
        <w:rPr>
          <w:i/>
        </w:rPr>
        <w:t>Right to an effective remedy</w:t>
      </w:r>
      <w:r>
        <w:t xml:space="preserve">" in the following terms: </w:t>
      </w:r>
      <w:r>
        <w:rPr>
          <w:i/>
        </w:rPr>
        <w:t>"</w:t>
      </w:r>
      <w:r>
        <w:rPr>
          <w:b/>
          <w:i/>
        </w:rPr>
        <w:t xml:space="preserve">Everyone whose rights and freedoms as set forth in this Convention are violated </w:t>
      </w:r>
      <w:r>
        <w:rPr>
          <w:i/>
        </w:rPr>
        <w:t xml:space="preserve">shall be </w:t>
      </w:r>
      <w:r>
        <w:rPr>
          <w:b/>
          <w:i/>
        </w:rPr>
        <w:t xml:space="preserve">entitled to an effective remedy before a national authority notwithstanding that </w:t>
      </w:r>
      <w:r>
        <w:rPr>
          <w:i/>
        </w:rPr>
        <w:t>the violation has been committed by persons acting in an official capacity.</w:t>
      </w:r>
      <w:r>
        <w:t xml:space="preserve">" </w:t>
      </w:r>
    </w:p>
    <w:p w14:paraId="5D2AB959" w14:textId="77777777" w:rsidR="004A3CD3" w:rsidRDefault="006C0598">
      <w:pPr>
        <w:numPr>
          <w:ilvl w:val="0"/>
          <w:numId w:val="44"/>
        </w:numPr>
        <w:spacing w:after="264" w:line="248" w:lineRule="auto"/>
        <w:ind w:right="792" w:hanging="566"/>
      </w:pPr>
      <w:r>
        <w:t xml:space="preserve">Thus, in the event of a violation of fundamental rights enshrined in the European Convention on Human Rights, the national court is necessarily empowered to order the authorities to take appropriate measures. The effectiveness of the protection of the rights guaranteed by the ECHR depends on this. </w:t>
      </w:r>
    </w:p>
    <w:p w14:paraId="4B156DA3" w14:textId="77777777" w:rsidR="004A3CD3" w:rsidRDefault="006C0598">
      <w:pPr>
        <w:numPr>
          <w:ilvl w:val="0"/>
          <w:numId w:val="44"/>
        </w:numPr>
        <w:spacing w:after="266"/>
        <w:ind w:right="792" w:hanging="566"/>
      </w:pPr>
      <w:r>
        <w:t xml:space="preserve">Also relevant to the violation of the standard of care in Article 1382 of the Civil Code is Article 9.4 of the Aarhus Convention, which also emphasizes the need for an effective remedy: </w:t>
      </w:r>
      <w:r>
        <w:rPr>
          <w:i/>
        </w:rPr>
        <w:t xml:space="preserve">"In addition, and without prejudice to paragraph 1, the [judicial] procedures referred to in paragraphs 1, 2 and 3 above shall provide adequate and </w:t>
      </w:r>
      <w:r>
        <w:rPr>
          <w:b/>
          <w:i/>
        </w:rPr>
        <w:t>effective remedies</w:t>
      </w:r>
      <w:r>
        <w:rPr>
          <w:i/>
        </w:rPr>
        <w:t xml:space="preserve">, </w:t>
      </w:r>
      <w:r>
        <w:rPr>
          <w:b/>
          <w:i/>
        </w:rPr>
        <w:t>including injunctive relief where appropriate</w:t>
      </w:r>
      <w:r>
        <w:rPr>
          <w:i/>
        </w:rPr>
        <w:t>, and shall be objective, fair and expeditious and not prohibitively expensive</w:t>
      </w:r>
      <w:r>
        <w:t xml:space="preserve">. </w:t>
      </w:r>
    </w:p>
    <w:p w14:paraId="101BEC0C" w14:textId="77777777" w:rsidR="004A3CD3" w:rsidRDefault="006C0598">
      <w:pPr>
        <w:spacing w:after="262" w:line="249" w:lineRule="auto"/>
        <w:ind w:left="449" w:right="785" w:firstLine="0"/>
      </w:pPr>
      <w:r>
        <w:rPr>
          <w:b/>
        </w:rPr>
        <w:t xml:space="preserve">V.2.3 </w:t>
      </w:r>
      <w:r>
        <w:rPr>
          <w:b/>
          <w:u w:val="single" w:color="000000"/>
        </w:rPr>
        <w:t xml:space="preserve">Application in this case </w:t>
      </w:r>
    </w:p>
    <w:p w14:paraId="1A3B3611" w14:textId="77777777" w:rsidR="004A3CD3" w:rsidRDefault="006C0598">
      <w:pPr>
        <w:numPr>
          <w:ilvl w:val="0"/>
          <w:numId w:val="44"/>
        </w:numPr>
        <w:spacing w:after="267"/>
        <w:ind w:right="792" w:hanging="566"/>
      </w:pPr>
      <w:r>
        <w:t xml:space="preserve">The concluding parties consider that the constitutional principle of separation of powers allows them to ask your Court to oblige the respondents to reduce their GHG emissions in a certain way. Indeed: </w:t>
      </w:r>
    </w:p>
    <w:p w14:paraId="6C95FC5F" w14:textId="77777777" w:rsidR="004A3CD3" w:rsidRDefault="006C0598">
      <w:pPr>
        <w:numPr>
          <w:ilvl w:val="1"/>
          <w:numId w:val="44"/>
        </w:numPr>
        <w:spacing w:after="267"/>
        <w:ind w:right="794" w:hanging="360"/>
      </w:pPr>
      <w:r>
        <w:t xml:space="preserve">In the present case, the respondents have no discretion as to the principle of conduct to be adopted, the GES injunctions sought being the only means for the authorities to achieve legality (A),  </w:t>
      </w:r>
    </w:p>
    <w:p w14:paraId="50FFAC51" w14:textId="77777777" w:rsidR="004A3CD3" w:rsidRDefault="006C0598">
      <w:pPr>
        <w:numPr>
          <w:ilvl w:val="1"/>
          <w:numId w:val="44"/>
        </w:numPr>
        <w:spacing w:after="267"/>
        <w:ind w:right="794" w:hanging="360"/>
      </w:pPr>
      <w:r>
        <w:t xml:space="preserve">Respondents remain free to choose the means to achieve the requested GHG emission reductions (B), and  </w:t>
      </w:r>
    </w:p>
    <w:p w14:paraId="7B82772A" w14:textId="77777777" w:rsidR="004A3CD3" w:rsidRDefault="006C0598">
      <w:pPr>
        <w:numPr>
          <w:ilvl w:val="1"/>
          <w:numId w:val="44"/>
        </w:numPr>
        <w:spacing w:after="267"/>
        <w:ind w:right="794" w:hanging="360"/>
      </w:pPr>
      <w:r>
        <w:lastRenderedPageBreak/>
        <w:t xml:space="preserve">injunctions are the only effective remedy for the violation of fundamental rights guaranteed by Articles 2 and 8 of the ECHR (C) and for the violation of rights protected by the Aarhus Convention. </w:t>
      </w:r>
    </w:p>
    <w:p w14:paraId="57227AFF" w14:textId="77777777" w:rsidR="004A3CD3" w:rsidRDefault="006C0598">
      <w:pPr>
        <w:spacing w:after="264" w:line="248" w:lineRule="auto"/>
        <w:ind w:left="1015" w:right="787" w:hanging="566"/>
        <w:jc w:val="left"/>
      </w:pPr>
      <w:r>
        <w:rPr>
          <w:b/>
          <w:i/>
        </w:rPr>
        <w:t xml:space="preserve">A. </w:t>
      </w:r>
      <w:r>
        <w:rPr>
          <w:b/>
          <w:i/>
          <w:u w:val="single" w:color="000000"/>
        </w:rPr>
        <w:t xml:space="preserve">There is no margin of appreciation in this case: these injunctions are the only measures enabling the authorities to achieve legality </w:t>
      </w:r>
    </w:p>
    <w:p w14:paraId="60D56279" w14:textId="77777777" w:rsidR="004A3CD3" w:rsidRDefault="006C0598">
      <w:pPr>
        <w:numPr>
          <w:ilvl w:val="0"/>
          <w:numId w:val="45"/>
        </w:numPr>
        <w:spacing w:after="263"/>
        <w:ind w:right="794" w:hanging="566"/>
      </w:pPr>
      <w:r>
        <w:t xml:space="preserve">As a reminder, the injunctions sought on appeal are the following two injunctions: </w:t>
      </w:r>
    </w:p>
    <w:p w14:paraId="752FB3FD" w14:textId="77777777" w:rsidR="004A3CD3" w:rsidRDefault="006C0598">
      <w:pPr>
        <w:numPr>
          <w:ilvl w:val="1"/>
          <w:numId w:val="45"/>
        </w:numPr>
        <w:spacing w:after="264"/>
        <w:ind w:right="794" w:hanging="360"/>
      </w:pPr>
      <w:r>
        <w:t xml:space="preserve">to reduce or cause to be reduced the overall volume of annual greenhouse gas emissions from the Belgian territory in such a way as to achieve by 2025 a reduction of at least 48% compared to the level in 1990; </w:t>
      </w:r>
    </w:p>
    <w:p w14:paraId="4218F0AA" w14:textId="77777777" w:rsidR="004A3CD3" w:rsidRDefault="006C0598">
      <w:pPr>
        <w:numPr>
          <w:ilvl w:val="1"/>
          <w:numId w:val="45"/>
        </w:numPr>
        <w:spacing w:after="267"/>
        <w:ind w:right="794" w:hanging="360"/>
      </w:pPr>
      <w:r>
        <w:t xml:space="preserve">to reduce or cause to be reduced the overall volume of annual greenhouse gas emissions from the Belgian territory in such a way as to achieve in 2030 a reduction of at least 65% compared to the level in 1990.  </w:t>
      </w:r>
    </w:p>
    <w:p w14:paraId="51D5780F" w14:textId="77777777" w:rsidR="004A3CD3" w:rsidRDefault="006C0598">
      <w:pPr>
        <w:numPr>
          <w:ilvl w:val="0"/>
          <w:numId w:val="45"/>
        </w:numPr>
        <w:spacing w:after="233"/>
        <w:ind w:right="794" w:hanging="566"/>
      </w:pPr>
      <w:r>
        <w:t xml:space="preserve">As demonstrated above, in establishing the standard of behaviour imposed by Articles 2 and 8 of the ECHR and by Article 1383 of the Civil Code, </w:t>
      </w:r>
      <w:r>
        <w:rPr>
          <w:b/>
        </w:rPr>
        <w:t xml:space="preserve">the injunctions requested </w:t>
      </w:r>
      <w:r>
        <w:t xml:space="preserve">correspond to </w:t>
      </w:r>
      <w:r>
        <w:rPr>
          <w:b/>
        </w:rPr>
        <w:t xml:space="preserve">a minimum </w:t>
      </w:r>
      <w:r>
        <w:rPr>
          <w:b/>
          <w:i/>
        </w:rPr>
        <w:t xml:space="preserve">minimorum </w:t>
      </w:r>
      <w:r>
        <w:t>for the country to do its part to prevent and effectively limit dangerous warming, understood as warming "</w:t>
      </w:r>
      <w:r>
        <w:rPr>
          <w:i/>
        </w:rPr>
        <w:t>well below 2°</w:t>
      </w:r>
      <w:r>
        <w:t xml:space="preserve">" and tending towards 1.5°C. This threshold not to be exceeded was specified by the IPCC and was formally enshrined in 2015 by the Paris Agreement </w:t>
      </w:r>
    </w:p>
    <w:p w14:paraId="056BAA2D" w14:textId="77777777" w:rsidR="004A3CD3" w:rsidRDefault="006C0598">
      <w:pPr>
        <w:spacing w:line="248" w:lineRule="auto"/>
        <w:ind w:left="1040" w:right="791" w:hanging="10"/>
      </w:pPr>
      <w:r>
        <w:t xml:space="preserve">In light of the current climate emergency and the very limited overall residual carbon budget, there is simply no </w:t>
      </w:r>
      <w:r>
        <w:rPr>
          <w:b/>
        </w:rPr>
        <w:t xml:space="preserve">discretion </w:t>
      </w:r>
      <w:r>
        <w:t xml:space="preserve">left to determine </w:t>
      </w:r>
      <w:r>
        <w:rPr>
          <w:b/>
        </w:rPr>
        <w:t xml:space="preserve">minimum </w:t>
      </w:r>
      <w:r>
        <w:t xml:space="preserve">GHG reduction </w:t>
      </w:r>
      <w:r>
        <w:rPr>
          <w:b/>
        </w:rPr>
        <w:t xml:space="preserve">targets for </w:t>
      </w:r>
      <w:r>
        <w:t xml:space="preserve">respondents.  </w:t>
      </w:r>
    </w:p>
    <w:p w14:paraId="0E6C21D8" w14:textId="77777777" w:rsidR="004A3CD3" w:rsidRDefault="006C0598">
      <w:pPr>
        <w:spacing w:after="266" w:line="248" w:lineRule="auto"/>
        <w:ind w:left="1040" w:right="791" w:hanging="10"/>
      </w:pPr>
      <w:r>
        <w:t xml:space="preserve">Only appropriate GHG emission reductions can prevent dangerous global warming. There is no other way to stop the violations of Articles 2 and 8 ECHR and Article 1382 of the Civil Code that the Respondents have committed in pursuing their climate policies and, in all likelihood, will continue to commit.  </w:t>
      </w:r>
    </w:p>
    <w:p w14:paraId="655B165C" w14:textId="77777777" w:rsidR="004A3CD3" w:rsidRDefault="006C0598">
      <w:pPr>
        <w:spacing w:after="264" w:line="248" w:lineRule="auto"/>
        <w:ind w:left="1015" w:right="787" w:hanging="566"/>
        <w:jc w:val="left"/>
      </w:pPr>
      <w:r>
        <w:rPr>
          <w:b/>
          <w:i/>
        </w:rPr>
        <w:t xml:space="preserve">B. </w:t>
      </w:r>
      <w:r>
        <w:rPr>
          <w:b/>
          <w:i/>
          <w:u w:val="single" w:color="000000"/>
        </w:rPr>
        <w:t xml:space="preserve">Respondents remain free to choose the means to achieve GHG emission reductions </w:t>
      </w:r>
    </w:p>
    <w:p w14:paraId="7275BEC8" w14:textId="77777777" w:rsidR="004A3CD3" w:rsidRDefault="006C0598">
      <w:pPr>
        <w:spacing w:after="267" w:line="248" w:lineRule="auto"/>
        <w:ind w:left="1015" w:right="791" w:hanging="566"/>
      </w:pPr>
      <w:r>
        <w:t xml:space="preserve">142. As a reminder, the requested injunction concerns a </w:t>
      </w:r>
      <w:r>
        <w:rPr>
          <w:b/>
        </w:rPr>
        <w:t xml:space="preserve">minimum </w:t>
      </w:r>
      <w:r>
        <w:t xml:space="preserve">result to be achieved in order to avoid the violation of human rights and the respect of the standard of conduct set out in Article 1382 of the Civil Code. This result takes the form of minimum thresholds for reducing GHG emissions within a certain period of time. The judge is not being asked to impose the precise means of achieving these reduction thresholds. The respondents retain complete freedom to choose the means to be implemented and the methods of implementation. </w:t>
      </w:r>
    </w:p>
    <w:p w14:paraId="2A24E60F" w14:textId="77777777" w:rsidR="004A3CD3" w:rsidRDefault="006C0598">
      <w:pPr>
        <w:tabs>
          <w:tab w:val="center" w:pos="551"/>
          <w:tab w:val="center" w:pos="4869"/>
        </w:tabs>
        <w:spacing w:after="263" w:line="249" w:lineRule="auto"/>
        <w:ind w:left="0" w:right="0" w:firstLine="0"/>
        <w:jc w:val="left"/>
      </w:pPr>
      <w:r>
        <w:tab/>
      </w:r>
      <w:r>
        <w:rPr>
          <w:b/>
          <w:i/>
        </w:rPr>
        <w:t xml:space="preserve">C. </w:t>
      </w:r>
      <w:r>
        <w:rPr>
          <w:rFonts w:ascii="Arial" w:eastAsia="Arial" w:hAnsi="Arial" w:cs="Arial"/>
          <w:b/>
          <w:i/>
        </w:rPr>
        <w:tab/>
      </w:r>
      <w:r>
        <w:rPr>
          <w:b/>
          <w:i/>
          <w:u w:val="single" w:color="000000"/>
        </w:rPr>
        <w:t xml:space="preserve">Failure to issue an injunction would result in a violation of the right to an effective remedy  </w:t>
      </w:r>
    </w:p>
    <w:p w14:paraId="649A9A66" w14:textId="77777777" w:rsidR="004A3CD3" w:rsidRDefault="006C0598">
      <w:pPr>
        <w:numPr>
          <w:ilvl w:val="0"/>
          <w:numId w:val="46"/>
        </w:numPr>
        <w:spacing w:after="267"/>
        <w:ind w:right="794" w:hanging="566"/>
      </w:pPr>
      <w:r>
        <w:t xml:space="preserve">By deciding that the respondents had violated Articles 2 and 8 of the ECHR and had also committed a fault within the meaning of Article 1382 of the Civil Code, but by refusing to impose the requested injunctions for the future, the judgment under appeal not only misapplied the principle of the separation of powers but also infringed the right to an effective remedy, guaranteed by Article 13 of the ECHR and Article 9.4 of the Aarhus Convention.  </w:t>
      </w:r>
    </w:p>
    <w:p w14:paraId="1A2229CD" w14:textId="77777777" w:rsidR="004A3CD3" w:rsidRDefault="006C0598">
      <w:pPr>
        <w:numPr>
          <w:ilvl w:val="0"/>
          <w:numId w:val="46"/>
        </w:numPr>
        <w:spacing w:after="267"/>
        <w:ind w:right="794" w:hanging="566"/>
      </w:pPr>
      <w:r>
        <w:t xml:space="preserve">Pursuant to Article 13 of the ECHR and Article 9.4 of the Aarhus Convention, this Court must offer on appeal the most adequate protection of the subjective rights at issue before it, and </w:t>
      </w:r>
      <w:r>
        <w:lastRenderedPageBreak/>
        <w:t xml:space="preserve">the only way to do so is to impose the injunctions sought and thus to order the respondents to reduce their GHG emissions as developed by the appellants  </w:t>
      </w:r>
    </w:p>
    <w:p w14:paraId="2BAA62C8" w14:textId="77777777" w:rsidR="004A3CD3" w:rsidRDefault="006C0598">
      <w:pPr>
        <w:numPr>
          <w:ilvl w:val="0"/>
          <w:numId w:val="46"/>
        </w:numPr>
        <w:spacing w:after="267"/>
        <w:ind w:right="794" w:hanging="566"/>
      </w:pPr>
      <w:r>
        <w:t xml:space="preserve">In the present case, the injunctions sought are essential to respect the subjective rights of the appellants in the light of the particularly negligent attitude of the respondents, both in the past and in the follow-up to the judgment under appeal. </w:t>
      </w:r>
    </w:p>
    <w:p w14:paraId="429C6D2B" w14:textId="77777777" w:rsidR="004A3CD3" w:rsidRDefault="006C0598">
      <w:pPr>
        <w:numPr>
          <w:ilvl w:val="0"/>
          <w:numId w:val="46"/>
        </w:numPr>
        <w:spacing w:after="145" w:line="248" w:lineRule="auto"/>
        <w:ind w:right="794" w:hanging="566"/>
      </w:pPr>
      <w:r>
        <w:t xml:space="preserve">As a reminder, Belgium's GHG emission reductions over 2020 can be summarized as follows:  </w:t>
      </w:r>
    </w:p>
    <w:p w14:paraId="0614F4A6" w14:textId="77777777" w:rsidR="004A3CD3" w:rsidRDefault="006C0598">
      <w:pPr>
        <w:numPr>
          <w:ilvl w:val="1"/>
          <w:numId w:val="46"/>
        </w:numPr>
        <w:spacing w:after="63"/>
        <w:ind w:right="794"/>
      </w:pPr>
      <w:r>
        <w:t xml:space="preserve">2010 : -7,5% </w:t>
      </w:r>
    </w:p>
    <w:p w14:paraId="6CFA389A" w14:textId="77777777" w:rsidR="004A3CD3" w:rsidRDefault="006C0598">
      <w:pPr>
        <w:numPr>
          <w:ilvl w:val="1"/>
          <w:numId w:val="46"/>
        </w:numPr>
        <w:spacing w:after="0" w:line="305" w:lineRule="auto"/>
        <w:ind w:right="794"/>
      </w:pPr>
      <w:r>
        <w:t xml:space="preserve">2011 : -16,4% - </w:t>
      </w:r>
      <w:r>
        <w:rPr>
          <w:rFonts w:ascii="Arial" w:eastAsia="Arial" w:hAnsi="Arial" w:cs="Arial"/>
        </w:rPr>
        <w:tab/>
      </w:r>
      <w:r>
        <w:t xml:space="preserve">2012 : -19% </w:t>
      </w:r>
    </w:p>
    <w:p w14:paraId="565A63E8" w14:textId="77777777" w:rsidR="004A3CD3" w:rsidRDefault="006C0598">
      <w:pPr>
        <w:numPr>
          <w:ilvl w:val="1"/>
          <w:numId w:val="46"/>
        </w:numPr>
        <w:spacing w:after="63"/>
        <w:ind w:right="794"/>
      </w:pPr>
      <w:r>
        <w:t xml:space="preserve">2014 : -23,5% </w:t>
      </w:r>
    </w:p>
    <w:p w14:paraId="64B78DC6" w14:textId="77777777" w:rsidR="004A3CD3" w:rsidRDefault="006C0598">
      <w:pPr>
        <w:numPr>
          <w:ilvl w:val="1"/>
          <w:numId w:val="46"/>
        </w:numPr>
        <w:spacing w:after="63"/>
        <w:ind w:right="794"/>
      </w:pPr>
      <w:r>
        <w:t xml:space="preserve">2015 : -19,7% </w:t>
      </w:r>
    </w:p>
    <w:p w14:paraId="70C6E49B" w14:textId="77777777" w:rsidR="004A3CD3" w:rsidRDefault="006C0598">
      <w:pPr>
        <w:numPr>
          <w:ilvl w:val="1"/>
          <w:numId w:val="46"/>
        </w:numPr>
        <w:spacing w:after="60"/>
        <w:ind w:right="794"/>
      </w:pPr>
      <w:r>
        <w:t xml:space="preserve">2016 : -19,2% </w:t>
      </w:r>
    </w:p>
    <w:p w14:paraId="193CFBEE" w14:textId="77777777" w:rsidR="004A3CD3" w:rsidRDefault="006C0598">
      <w:pPr>
        <w:numPr>
          <w:ilvl w:val="1"/>
          <w:numId w:val="46"/>
        </w:numPr>
        <w:spacing w:after="63"/>
        <w:ind w:right="794"/>
      </w:pPr>
      <w:r>
        <w:t xml:space="preserve">2017 : -21,9% </w:t>
      </w:r>
    </w:p>
    <w:p w14:paraId="5399A969" w14:textId="77777777" w:rsidR="004A3CD3" w:rsidRDefault="006C0598">
      <w:pPr>
        <w:numPr>
          <w:ilvl w:val="1"/>
          <w:numId w:val="46"/>
        </w:numPr>
        <w:spacing w:after="85" w:line="305" w:lineRule="auto"/>
        <w:ind w:right="794"/>
      </w:pPr>
      <w:r>
        <w:t xml:space="preserve">2018 :  -17,9% - 2019 : -18,8%. </w:t>
      </w:r>
    </w:p>
    <w:p w14:paraId="4904F3B7" w14:textId="77777777" w:rsidR="004A3CD3" w:rsidRDefault="006C0598">
      <w:pPr>
        <w:spacing w:after="285"/>
        <w:ind w:left="1015" w:right="794"/>
      </w:pPr>
      <w:r>
        <w:t xml:space="preserve">It is clear that emission reductions have stagnated since 2011, with no significant progress, and remain well below what the behavioural standard required. As regards the 2030 horizon, no concrete response to the challenges has been made following the judgment of 17 June 2021. Contrast this with Germany, where a 24 March 2021 ruling by the </w:t>
      </w:r>
      <w:r>
        <w:rPr>
          <w:i/>
        </w:rPr>
        <w:t xml:space="preserve">Bundesverfassungsgericht </w:t>
      </w:r>
      <w:r>
        <w:t>found that a federal climate law that mandated a 55% reduction in GHG emissions by 2030 was unconstitutional in that it violated the right to life and physical integrity and the right to property of young people and future generations by postponing too many emission reductions until the future</w:t>
      </w:r>
      <w:r>
        <w:rPr>
          <w:sz w:val="20"/>
          <w:vertAlign w:val="superscript"/>
        </w:rPr>
        <w:t>111</w:t>
      </w:r>
      <w:r>
        <w:t xml:space="preserve">. </w:t>
      </w:r>
      <w:r>
        <w:rPr>
          <w:b/>
        </w:rPr>
        <w:t>In response to this finding of violation of fundamental rights</w:t>
      </w:r>
      <w:r>
        <w:t xml:space="preserve">, the federal government tabled </w:t>
      </w:r>
      <w:r>
        <w:rPr>
          <w:b/>
        </w:rPr>
        <w:t xml:space="preserve">within two weeks </w:t>
      </w:r>
      <w:r>
        <w:t xml:space="preserve">an amendment to the law that provides for an increase in the GHG reduction by 2030 from 55% to 65% and, in addition, zero net emissions in 2045. This amendment came into force on August 31, 2021.  </w:t>
      </w:r>
      <w:r>
        <w:rPr>
          <w:sz w:val="20"/>
          <w:vertAlign w:val="superscript"/>
        </w:rPr>
        <w:t>112</w:t>
      </w:r>
    </w:p>
    <w:p w14:paraId="5E0693C3" w14:textId="77777777" w:rsidR="004A3CD3" w:rsidRDefault="006C0598">
      <w:pPr>
        <w:spacing w:after="288"/>
        <w:ind w:left="1030" w:right="794" w:hanging="566"/>
      </w:pPr>
      <w:r>
        <w:t xml:space="preserve">148. The disturbing attitude of the Respondents in view of the seriousness and urgency of the situation underlines the need for injunctions to ensure that the Appellants' remedy is an effective one. In this case, the injunctions sought are the only measure that provides an effective remedy. </w:t>
      </w:r>
    </w:p>
    <w:p w14:paraId="3D5F8957" w14:textId="77777777" w:rsidR="004A3CD3" w:rsidRDefault="006C0598">
      <w:pPr>
        <w:spacing w:after="243" w:line="250" w:lineRule="auto"/>
        <w:ind w:left="463" w:right="787" w:firstLine="0"/>
      </w:pPr>
      <w:r>
        <w:rPr>
          <w:noProof/>
        </w:rPr>
        <w:drawing>
          <wp:inline distT="0" distB="0" distL="0" distR="0" wp14:anchorId="5C5D3D98" wp14:editId="0010CFC2">
            <wp:extent cx="197358" cy="105918"/>
            <wp:effectExtent l="0" t="0" r="0" b="0"/>
            <wp:docPr id="12629" name="Picture 12629"/>
            <wp:cNvGraphicFramePr/>
            <a:graphic xmlns:a="http://schemas.openxmlformats.org/drawingml/2006/main">
              <a:graphicData uri="http://schemas.openxmlformats.org/drawingml/2006/picture">
                <pic:pic xmlns:pic="http://schemas.openxmlformats.org/drawingml/2006/picture">
                  <pic:nvPicPr>
                    <pic:cNvPr id="12629" name="Picture 12629"/>
                    <pic:cNvPicPr/>
                  </pic:nvPicPr>
                  <pic:blipFill>
                    <a:blip r:embed="rId54"/>
                    <a:stretch>
                      <a:fillRect/>
                    </a:stretch>
                  </pic:blipFill>
                  <pic:spPr>
                    <a:xfrm>
                      <a:off x="0" y="0"/>
                      <a:ext cx="197358" cy="105918"/>
                    </a:xfrm>
                    <a:prstGeom prst="rect">
                      <a:avLst/>
                    </a:prstGeom>
                  </pic:spPr>
                </pic:pic>
              </a:graphicData>
            </a:graphic>
          </wp:inline>
        </w:drawing>
      </w:r>
      <w:r>
        <w:rPr>
          <w:b/>
          <w:sz w:val="24"/>
          <w:u w:val="single" w:color="000000"/>
        </w:rPr>
        <w:t xml:space="preserve"> Other grievances </w:t>
      </w:r>
    </w:p>
    <w:p w14:paraId="15249EDB" w14:textId="77777777" w:rsidR="004A3CD3" w:rsidRDefault="006C0598">
      <w:pPr>
        <w:spacing w:after="262" w:line="249" w:lineRule="auto"/>
        <w:ind w:left="1025" w:right="785" w:hanging="576"/>
      </w:pPr>
      <w:r>
        <w:rPr>
          <w:b/>
        </w:rPr>
        <w:t xml:space="preserve">V.3.1 </w:t>
      </w:r>
      <w:r>
        <w:rPr>
          <w:b/>
          <w:u w:val="single" w:color="000000"/>
        </w:rPr>
        <w:t xml:space="preserve">The UNFCCC has not been amended by the Kyoto Protocol and the Paris Agreement; its original wording remains unchanged </w:t>
      </w:r>
    </w:p>
    <w:p w14:paraId="38EEFFA4" w14:textId="77777777" w:rsidR="004A3CD3" w:rsidRDefault="006C0598">
      <w:pPr>
        <w:tabs>
          <w:tab w:val="center" w:pos="560"/>
          <w:tab w:val="center" w:pos="2874"/>
        </w:tabs>
        <w:spacing w:after="264" w:line="248" w:lineRule="auto"/>
        <w:ind w:left="0" w:right="0" w:firstLine="0"/>
        <w:jc w:val="left"/>
      </w:pPr>
      <w:r>
        <w:tab/>
      </w:r>
      <w:r>
        <w:rPr>
          <w:b/>
          <w:i/>
        </w:rPr>
        <w:t xml:space="preserve">A. </w:t>
      </w:r>
      <w:r>
        <w:rPr>
          <w:rFonts w:ascii="Arial" w:eastAsia="Arial" w:hAnsi="Arial" w:cs="Arial"/>
          <w:b/>
          <w:i/>
        </w:rPr>
        <w:tab/>
      </w:r>
      <w:r>
        <w:rPr>
          <w:b/>
          <w:i/>
          <w:u w:val="single" w:color="000000"/>
        </w:rPr>
        <w:t xml:space="preserve">Review and criticism of the judgment under review </w:t>
      </w:r>
    </w:p>
    <w:p w14:paraId="43D20660" w14:textId="77777777" w:rsidR="004A3CD3" w:rsidRDefault="006C0598">
      <w:pPr>
        <w:ind w:left="1030" w:right="794" w:hanging="566"/>
      </w:pPr>
      <w:r>
        <w:t>149. In its statement of the factual background to the dispute, the judgment under review refers to the UNFCCC (1992), the Kyoto Protocol (1997) and the Paris Agreement (2015). In situating the Paris Agreement, the judgment characterizes it as an amendment to the UNFCCC, more specifically a second amendment to the UNFCCC, the previous one being logically the Kyoto Protocol: "</w:t>
      </w:r>
      <w:r>
        <w:rPr>
          <w:i/>
        </w:rPr>
        <w:t xml:space="preserve">On 12 December 2015, at COP-21 held in Paris, the member states of the Framework Convention adopted the Paris Agreement </w:t>
      </w:r>
      <w:r>
        <w:rPr>
          <w:b/>
          <w:i/>
        </w:rPr>
        <w:t>by which the UNFCCC was once again amended</w:t>
      </w:r>
      <w:r>
        <w:rPr>
          <w:i/>
        </w:rPr>
        <w:t>.</w:t>
      </w:r>
      <w:r>
        <w:t xml:space="preserve">"  </w:t>
      </w:r>
      <w:r>
        <w:rPr>
          <w:sz w:val="20"/>
          <w:vertAlign w:val="superscript"/>
        </w:rPr>
        <w:t>113</w:t>
      </w:r>
    </w:p>
    <w:p w14:paraId="6B4B7BDF" w14:textId="77777777" w:rsidR="004A3CD3" w:rsidRDefault="006C0598">
      <w:pPr>
        <w:ind w:left="1015" w:right="794"/>
      </w:pPr>
      <w:r>
        <w:t xml:space="preserve">This understanding of the Kyoto Protocol and the Paris Agreement is </w:t>
      </w:r>
      <w:r>
        <w:rPr>
          <w:b/>
        </w:rPr>
        <w:t>legally flawed</w:t>
      </w:r>
      <w:r>
        <w:t xml:space="preserve">. The text of the Framework Convention is unchanged to this day, especially with regard to its Article 2, which states the ultimate goal of the Framework Convention: to prevent dangerous anthropogenic global warming.  </w:t>
      </w:r>
    </w:p>
    <w:p w14:paraId="49DC0289" w14:textId="77777777" w:rsidR="004A3CD3" w:rsidRDefault="006C0598">
      <w:pPr>
        <w:spacing w:after="547"/>
        <w:ind w:left="1015" w:right="794"/>
      </w:pPr>
      <w:r>
        <w:lastRenderedPageBreak/>
        <w:t xml:space="preserve">The error in law committed is such as to diminish the importance of the UNFCCC, in particular its Article 2, and to emphasize the commitments embodied in the Protocol and the Agreement. The Appellants therefore consider that it is detrimental to their case in that it is likely to facilitate the error in law committed by the Tribunal when it exclusively took into account binding obligations under international and other climate law as a reference for assessing the legality of the Respondents' conduct, </w:t>
      </w:r>
    </w:p>
    <w:p w14:paraId="185A2A99" w14:textId="77777777" w:rsidR="00E933CB" w:rsidRDefault="00825B93">
      <w:pPr>
        <w:spacing w:after="57" w:line="259" w:lineRule="auto"/>
        <w:ind w:left="1030" w:right="0" w:firstLine="0"/>
        <w:jc w:val="left"/>
      </w:pPr>
      <w:r>
        <w:rPr>
          <w:strike/>
        </w:rPr>
        <w:t xml:space="preserve">                                                         </w:t>
      </w:r>
      <w:r>
        <w:t xml:space="preserve"> </w:t>
      </w:r>
    </w:p>
    <w:p w14:paraId="5620E77A" w14:textId="77777777" w:rsidR="004A3CD3" w:rsidRDefault="006C0598">
      <w:pPr>
        <w:spacing w:after="125" w:line="260" w:lineRule="auto"/>
        <w:ind w:left="742" w:right="287" w:hanging="10"/>
        <w:jc w:val="left"/>
      </w:pPr>
      <w:r>
        <w:rPr>
          <w:sz w:val="18"/>
          <w:vertAlign w:val="superscript"/>
        </w:rPr>
        <w:t>111</w:t>
      </w:r>
      <w:r>
        <w:rPr>
          <w:sz w:val="18"/>
        </w:rPr>
        <w:t xml:space="preserve"> </w:t>
      </w:r>
      <w:r>
        <w:rPr>
          <w:i/>
          <w:sz w:val="18"/>
        </w:rPr>
        <w:t>Bundesverfassungsgericht</w:t>
      </w:r>
      <w:r>
        <w:rPr>
          <w:sz w:val="18"/>
        </w:rPr>
        <w:t xml:space="preserve">, Order of 24 March 2021.  </w:t>
      </w:r>
    </w:p>
    <w:p w14:paraId="475D207E" w14:textId="77777777" w:rsidR="004A3CD3" w:rsidRDefault="00B165DF">
      <w:pPr>
        <w:spacing w:after="3" w:line="250" w:lineRule="auto"/>
        <w:ind w:left="1025" w:right="791" w:hanging="293"/>
      </w:pPr>
      <w:hyperlink r:id="rId55">
        <w:r w:rsidR="006C0598">
          <w:rPr>
            <w:sz w:val="18"/>
            <w:u w:val="single" w:color="000000"/>
          </w:rPr>
          <w:t xml:space="preserve"> See </w:t>
        </w:r>
      </w:hyperlink>
      <w:r w:rsidR="006C0598">
        <w:rPr>
          <w:sz w:val="18"/>
        </w:rPr>
        <w:tab/>
        <w:t>https://www.bundesve</w:t>
      </w:r>
      <w:hyperlink r:id="rId56">
        <w:r w:rsidR="006C0598">
          <w:rPr>
            <w:sz w:val="18"/>
            <w:u w:val="single" w:color="000000"/>
          </w:rPr>
          <w:t>rfassungsgericht.de/SharedDocs/Entscheidungen/EN/2021/03/rs20210324_1bvr265618en</w:t>
        </w:r>
      </w:hyperlink>
    </w:p>
    <w:p w14:paraId="5AB44E33" w14:textId="77777777" w:rsidR="004A3CD3" w:rsidRDefault="00B165DF">
      <w:pPr>
        <w:spacing w:after="108" w:line="250" w:lineRule="auto"/>
        <w:ind w:left="1030" w:right="791" w:firstLine="0"/>
      </w:pPr>
      <w:hyperlink r:id="rId57">
        <w:r w:rsidR="006C0598">
          <w:rPr>
            <w:sz w:val="18"/>
            <w:u w:val="single" w:color="000000"/>
          </w:rPr>
          <w:t xml:space="preserve">.html </w:t>
        </w:r>
      </w:hyperlink>
      <w:hyperlink r:id="rId58">
        <w:r w:rsidR="006C0598">
          <w:rPr>
            <w:sz w:val="18"/>
          </w:rPr>
          <w:t>.</w:t>
        </w:r>
      </w:hyperlink>
      <w:r w:rsidR="006C0598">
        <w:rPr>
          <w:sz w:val="18"/>
        </w:rPr>
        <w:t xml:space="preserve">  </w:t>
      </w:r>
    </w:p>
    <w:p w14:paraId="5228DEDB" w14:textId="77777777" w:rsidR="004A3CD3" w:rsidRDefault="00B165DF">
      <w:pPr>
        <w:spacing w:after="3" w:line="373" w:lineRule="auto"/>
        <w:ind w:left="732" w:right="875" w:firstLine="0"/>
      </w:pPr>
      <w:hyperlink r:id="rId59">
        <w:r w:rsidR="006C0598">
          <w:rPr>
            <w:sz w:val="18"/>
            <w:u w:val="single" w:color="000000"/>
          </w:rPr>
          <w:t xml:space="preserve"> </w:t>
        </w:r>
      </w:hyperlink>
      <w:r w:rsidR="006C0598">
        <w:rPr>
          <w:sz w:val="18"/>
        </w:rPr>
        <w:t xml:space="preserve"> See also </w:t>
      </w:r>
      <w:hyperlink r:id="rId60">
        <w:r w:rsidR="006C0598">
          <w:rPr>
            <w:sz w:val="18"/>
            <w:u w:val="single" w:color="000000"/>
          </w:rPr>
          <w:t xml:space="preserve">https://www.bundesverfassungsgericht.de/SharedDocs/Pressemitteilungen/EN/2021/bvg21-031.html. </w:t>
        </w:r>
      </w:hyperlink>
      <w:r w:rsidR="006C0598">
        <w:rPr>
          <w:sz w:val="18"/>
        </w:rPr>
        <w:t>See</w:t>
      </w:r>
      <w:r w:rsidR="006C0598">
        <w:rPr>
          <w:sz w:val="18"/>
          <w:vertAlign w:val="superscript"/>
        </w:rPr>
        <w:t>112</w:t>
      </w:r>
      <w:hyperlink r:id="rId61">
        <w:r w:rsidR="006C0598">
          <w:rPr>
            <w:sz w:val="18"/>
            <w:u w:val="single" w:color="000000"/>
          </w:rPr>
          <w:t xml:space="preserve"> </w:t>
        </w:r>
      </w:hyperlink>
      <w:r w:rsidR="006C0598">
        <w:rPr>
          <w:sz w:val="18"/>
          <w:vertAlign w:val="superscript"/>
        </w:rPr>
        <w:t>113</w:t>
      </w:r>
      <w:r w:rsidR="006C0598">
        <w:rPr>
          <w:sz w:val="18"/>
        </w:rPr>
        <w:t xml:space="preserve">https://www.bundesregierung.de/breg-de/themen/klimaschutz/climate-change-act-2021-1936846 Judgement undertaken, p. 26. </w:t>
      </w:r>
    </w:p>
    <w:p w14:paraId="04FA59B8" w14:textId="77777777" w:rsidR="004A3CD3" w:rsidRDefault="006C0598">
      <w:pPr>
        <w:spacing w:after="266"/>
        <w:ind w:left="1015" w:right="794"/>
      </w:pPr>
      <w:r>
        <w:t xml:space="preserve">confusing the standard of behaviour imposed by Articles 2 and 8 of the ECHR and by Article 1382 of the Civil Code with positive law. </w:t>
      </w:r>
    </w:p>
    <w:p w14:paraId="13509960" w14:textId="77777777" w:rsidR="004A3CD3" w:rsidRDefault="006C0598">
      <w:pPr>
        <w:tabs>
          <w:tab w:val="center" w:pos="556"/>
          <w:tab w:val="center" w:pos="3529"/>
        </w:tabs>
        <w:spacing w:after="263" w:line="249" w:lineRule="auto"/>
        <w:ind w:left="0" w:right="0" w:firstLine="0"/>
        <w:jc w:val="left"/>
      </w:pPr>
      <w:r>
        <w:tab/>
      </w:r>
      <w:r>
        <w:rPr>
          <w:b/>
          <w:i/>
        </w:rPr>
        <w:t xml:space="preserve">B. </w:t>
      </w:r>
      <w:r>
        <w:rPr>
          <w:rFonts w:ascii="Arial" w:eastAsia="Arial" w:hAnsi="Arial" w:cs="Arial"/>
          <w:b/>
          <w:i/>
        </w:rPr>
        <w:tab/>
      </w:r>
      <w:r>
        <w:rPr>
          <w:b/>
          <w:i/>
          <w:u w:val="single" w:color="000000"/>
        </w:rPr>
        <w:t xml:space="preserve">Applicable principles and their application in this case </w:t>
      </w:r>
    </w:p>
    <w:p w14:paraId="1618ADD4" w14:textId="77777777" w:rsidR="004A3CD3" w:rsidRDefault="006C0598">
      <w:pPr>
        <w:numPr>
          <w:ilvl w:val="0"/>
          <w:numId w:val="47"/>
        </w:numPr>
        <w:spacing w:line="248" w:lineRule="auto"/>
        <w:ind w:right="792" w:hanging="566"/>
      </w:pPr>
      <w:r>
        <w:t xml:space="preserve">International public law characterizes the UNFCCC, the Kyoto Protocol and the Paris Agreement as three separate treaties, which coexist on an equal footing even though the Kyoto Protocol and the Paris Agreement align with the UNFCCC by referring to it in their preambles and provisions. Their formal legal relationship is not like that of successive national laws where the most recent one modifies the previous one. Nor is it to be understood as that between a law and an implementing order.   </w:t>
      </w:r>
    </w:p>
    <w:p w14:paraId="4BD14919" w14:textId="77777777" w:rsidR="004A3CD3" w:rsidRDefault="006C0598">
      <w:pPr>
        <w:spacing w:after="266" w:line="248" w:lineRule="auto"/>
        <w:ind w:left="1040" w:right="791" w:hanging="10"/>
      </w:pPr>
      <w:r>
        <w:t>With regard to the Kyoto Protocol in particular, it should be stressed that it is not a modifying protocol like, for example, the 1996 Protocol to the 1972 Convention on the Prevention of Marine Pollution by Dumping of Wastes and Other Matter</w:t>
      </w:r>
      <w:r>
        <w:rPr>
          <w:sz w:val="20"/>
          <w:vertAlign w:val="superscript"/>
        </w:rPr>
        <w:footnoteReference w:id="99"/>
      </w:r>
      <w:r>
        <w:t xml:space="preserve">, which, in its Article 23, states that it modifies the 1972 Convention for those States Parties to the Protocol that are also Parties to the Convention. </w:t>
      </w:r>
    </w:p>
    <w:p w14:paraId="36EE2EEE" w14:textId="77777777" w:rsidR="004A3CD3" w:rsidRDefault="006C0598">
      <w:pPr>
        <w:numPr>
          <w:ilvl w:val="0"/>
          <w:numId w:val="47"/>
        </w:numPr>
        <w:spacing w:after="267"/>
        <w:ind w:right="792" w:hanging="566"/>
      </w:pPr>
      <w:r>
        <w:t xml:space="preserve">In this case, Article 2 of the UNFCCC remains unchanged as the basis for international climate governance. The notion of dangerous warming is at the heart of the work of the IPCC and the COPs. The knowledge of the threshold of a dangerous warming and the knowledge of the measures to avoid and limit such a warming determine the standard of care of national authorities worldwide and also in Belgium. </w:t>
      </w:r>
    </w:p>
    <w:p w14:paraId="6A8B3B0C" w14:textId="77777777" w:rsidR="004A3CD3" w:rsidRDefault="006C0598">
      <w:pPr>
        <w:spacing w:after="262" w:line="249" w:lineRule="auto"/>
        <w:ind w:left="1025" w:right="785" w:hanging="576"/>
      </w:pPr>
      <w:r>
        <w:rPr>
          <w:b/>
        </w:rPr>
        <w:t xml:space="preserve">V.3.2 </w:t>
      </w:r>
      <w:r>
        <w:rPr>
          <w:b/>
          <w:u w:val="single" w:color="000000"/>
        </w:rPr>
        <w:t xml:space="preserve">The court was wrong to consider that it was required to exercise only marginal control over the authorities' compliance with the standard of conduct imposed by Articles 2 and 8 of the ECHR and by Article 1382 of the Civil Code </w:t>
      </w:r>
    </w:p>
    <w:p w14:paraId="7A652C59" w14:textId="77777777" w:rsidR="004A3CD3" w:rsidRDefault="006C0598">
      <w:pPr>
        <w:tabs>
          <w:tab w:val="center" w:pos="560"/>
          <w:tab w:val="center" w:pos="2874"/>
        </w:tabs>
        <w:spacing w:after="264" w:line="248" w:lineRule="auto"/>
        <w:ind w:left="0" w:right="0" w:firstLine="0"/>
        <w:jc w:val="left"/>
      </w:pPr>
      <w:r>
        <w:tab/>
      </w:r>
      <w:r>
        <w:rPr>
          <w:b/>
          <w:i/>
        </w:rPr>
        <w:t xml:space="preserve">A. </w:t>
      </w:r>
      <w:r>
        <w:rPr>
          <w:rFonts w:ascii="Arial" w:eastAsia="Arial" w:hAnsi="Arial" w:cs="Arial"/>
          <w:b/>
          <w:i/>
        </w:rPr>
        <w:tab/>
      </w:r>
      <w:r>
        <w:rPr>
          <w:b/>
          <w:i/>
          <w:u w:val="single" w:color="000000"/>
        </w:rPr>
        <w:t xml:space="preserve">Review and criticism of the judgment under review </w:t>
      </w:r>
    </w:p>
    <w:p w14:paraId="16634F3E" w14:textId="77777777" w:rsidR="004A3CD3" w:rsidRDefault="006C0598">
      <w:pPr>
        <w:numPr>
          <w:ilvl w:val="0"/>
          <w:numId w:val="48"/>
        </w:numPr>
        <w:spacing w:after="286"/>
        <w:ind w:right="794" w:hanging="566"/>
      </w:pPr>
      <w:r>
        <w:lastRenderedPageBreak/>
        <w:t>In specifying the legal framework within which it must assess the responsibility of the public authorities, the court considered that it must exercise "</w:t>
      </w:r>
      <w:r>
        <w:rPr>
          <w:i/>
        </w:rPr>
        <w:t xml:space="preserve">a necessarily </w:t>
      </w:r>
      <w:r>
        <w:rPr>
          <w:b/>
          <w:i/>
        </w:rPr>
        <w:t xml:space="preserve">marginal </w:t>
      </w:r>
      <w:r>
        <w:rPr>
          <w:i/>
        </w:rPr>
        <w:t>control</w:t>
      </w:r>
      <w:r>
        <w:t>" thus avoiding "</w:t>
      </w:r>
      <w:r>
        <w:rPr>
          <w:i/>
        </w:rPr>
        <w:t>substituting its assessment for that of the legislator</w:t>
      </w:r>
      <w:r>
        <w:t>", respecting "</w:t>
      </w:r>
      <w:r>
        <w:rPr>
          <w:i/>
        </w:rPr>
        <w:t>the guidelines laid down by the case law of the Court of Cassation</w:t>
      </w:r>
      <w:r>
        <w:t xml:space="preserve">".  </w:t>
      </w:r>
      <w:r>
        <w:rPr>
          <w:sz w:val="20"/>
          <w:vertAlign w:val="superscript"/>
        </w:rPr>
        <w:t>115</w:t>
      </w:r>
    </w:p>
    <w:p w14:paraId="7AE3A934" w14:textId="77777777" w:rsidR="004A3CD3" w:rsidRDefault="006C0598">
      <w:pPr>
        <w:numPr>
          <w:ilvl w:val="0"/>
          <w:numId w:val="48"/>
        </w:numPr>
        <w:spacing w:after="278"/>
        <w:ind w:right="794" w:hanging="566"/>
      </w:pPr>
      <w:r>
        <w:t>Similarly, the judgment in question characterizes its review of the public authorities' compliance with the obligations arising from Articles 2 and 8 of the ECHR as a "</w:t>
      </w:r>
      <w:r>
        <w:rPr>
          <w:i/>
        </w:rPr>
        <w:t>marginal review</w:t>
      </w:r>
      <w:r>
        <w:t>"</w:t>
      </w:r>
      <w:r>
        <w:rPr>
          <w:sz w:val="20"/>
          <w:vertAlign w:val="superscript"/>
        </w:rPr>
        <w:footnoteReference w:id="100"/>
      </w:r>
      <w:r>
        <w:t xml:space="preserve">. </w:t>
      </w:r>
    </w:p>
    <w:p w14:paraId="0ADF2C20" w14:textId="77777777" w:rsidR="004A3CD3" w:rsidRDefault="006C0598">
      <w:pPr>
        <w:numPr>
          <w:ilvl w:val="0"/>
          <w:numId w:val="48"/>
        </w:numPr>
        <w:ind w:right="794" w:hanging="566"/>
      </w:pPr>
      <w:r>
        <w:t xml:space="preserve">Both with regard to the standard of conduct laid down in article 1382 of the Civil Code and with regard to the standard of conduct imposed by articles 2 and 8 of the ECHR, this view constitutes an error in law which is detrimental to the appellants' case. Indeed, the appellants are entitled to a judicial review of a different quality, which goes further and is more comprehensive than a marginal review.   </w:t>
      </w:r>
    </w:p>
    <w:p w14:paraId="2EAC8165" w14:textId="77777777" w:rsidR="004A3CD3" w:rsidRDefault="006C0598">
      <w:pPr>
        <w:tabs>
          <w:tab w:val="center" w:pos="556"/>
          <w:tab w:val="center" w:pos="3529"/>
        </w:tabs>
        <w:spacing w:after="263" w:line="249" w:lineRule="auto"/>
        <w:ind w:left="0" w:right="0" w:firstLine="0"/>
        <w:jc w:val="left"/>
      </w:pPr>
      <w:r>
        <w:tab/>
      </w:r>
      <w:r>
        <w:rPr>
          <w:b/>
          <w:i/>
        </w:rPr>
        <w:t xml:space="preserve">B. </w:t>
      </w:r>
      <w:r>
        <w:rPr>
          <w:rFonts w:ascii="Arial" w:eastAsia="Arial" w:hAnsi="Arial" w:cs="Arial"/>
          <w:b/>
          <w:i/>
        </w:rPr>
        <w:tab/>
      </w:r>
      <w:r>
        <w:rPr>
          <w:b/>
          <w:i/>
          <w:u w:val="single" w:color="000000"/>
        </w:rPr>
        <w:t xml:space="preserve">Applicable principles and their application in this case </w:t>
      </w:r>
    </w:p>
    <w:p w14:paraId="2AECDB41" w14:textId="77777777" w:rsidR="004A3CD3" w:rsidRDefault="006C0598">
      <w:pPr>
        <w:numPr>
          <w:ilvl w:val="0"/>
          <w:numId w:val="49"/>
        </w:numPr>
        <w:spacing w:after="266" w:line="248" w:lineRule="auto"/>
        <w:ind w:right="791" w:hanging="566"/>
      </w:pPr>
      <w:r>
        <w:t xml:space="preserve">The key criterion for the extra-contractual liability of public authorities in Belgian law, enshrined in the case law of the Court of Cassation, is that of an </w:t>
      </w:r>
      <w:r>
        <w:rPr>
          <w:b/>
        </w:rPr>
        <w:t>ordinarily prudent and diligent public authority in the same circumstances of time and place</w:t>
      </w:r>
      <w:r>
        <w:t xml:space="preserve">. </w:t>
      </w:r>
      <w:r>
        <w:rPr>
          <w:sz w:val="20"/>
          <w:vertAlign w:val="superscript"/>
        </w:rPr>
        <w:footnoteReference w:id="101"/>
      </w:r>
      <w:r>
        <w:t xml:space="preserve"> This is the criterion to be applied, the extent of the control to be carried out. It does not impose a 'marginal control' style restriction.  The test is applied in the light of the circumstances of the case and that control is fully exercised. </w:t>
      </w:r>
    </w:p>
    <w:p w14:paraId="5BA4251A" w14:textId="77777777" w:rsidR="004A3CD3" w:rsidRDefault="006C0598">
      <w:pPr>
        <w:numPr>
          <w:ilvl w:val="0"/>
          <w:numId w:val="49"/>
        </w:numPr>
        <w:spacing w:after="142" w:line="248" w:lineRule="auto"/>
        <w:ind w:right="791" w:hanging="566"/>
      </w:pPr>
      <w:r>
        <w:t>The very idea that the judge would exercise marginal control over the right to life enshrined in Article 2 of the ECHR is shocking. Even at the level of the control exercised by the European Court of Human Rights, this fundamental right escapes the theory of the margin of appreciation which the Court imposes on itself and which allows the States Parties to the ECHR to apply certain rights according to local circumstances. Like the prohibition of torture and slavery, it is one of the so-called '</w:t>
      </w:r>
      <w:r>
        <w:rPr>
          <w:i/>
        </w:rPr>
        <w:t xml:space="preserve">Notstandsfeste' </w:t>
      </w:r>
      <w:r>
        <w:t xml:space="preserve">rights, which are so fundamental that no margin of appreciation is allowed.  </w:t>
      </w:r>
      <w:r>
        <w:rPr>
          <w:sz w:val="20"/>
          <w:vertAlign w:val="superscript"/>
        </w:rPr>
        <w:footnoteReference w:id="102"/>
      </w:r>
    </w:p>
    <w:p w14:paraId="43304424" w14:textId="77777777" w:rsidR="004A3CD3" w:rsidRDefault="006C0598">
      <w:pPr>
        <w:spacing w:after="264"/>
        <w:ind w:left="1015" w:right="794"/>
      </w:pPr>
      <w:r>
        <w:t>The fundamental right enshrined in Article 8 of the ECHR, on the other hand, is one of the fundamental rights for which the European Court of Human Rights uses the theory of the margin of appreciation of the States Parties</w:t>
      </w:r>
      <w:r>
        <w:rPr>
          <w:sz w:val="20"/>
          <w:vertAlign w:val="superscript"/>
        </w:rPr>
        <w:footnoteReference w:id="103"/>
      </w:r>
      <w:r>
        <w:rPr>
          <w:i/>
        </w:rPr>
        <w:t xml:space="preserve"> </w:t>
      </w:r>
      <w:r>
        <w:t xml:space="preserve">in its own case law. However, this theory </w:t>
      </w:r>
      <w:r>
        <w:rPr>
          <w:b/>
        </w:rPr>
        <w:t xml:space="preserve">does not apply </w:t>
      </w:r>
      <w:r>
        <w:t xml:space="preserve">to the </w:t>
      </w:r>
      <w:r>
        <w:rPr>
          <w:b/>
        </w:rPr>
        <w:t>national judge</w:t>
      </w:r>
      <w:r>
        <w:t>, who is the first judge to ensure that the rights enshrined in the ECHR are respected; it is specific to the control exercised by the European Court. According to the European Court, "</w:t>
      </w:r>
      <w:r>
        <w:rPr>
          <w:i/>
        </w:rPr>
        <w:t>the courts must examine rigorously the pleas relating to the "rights and freedoms" guaranteed by the Convention before them and that this is a corollary of the principle of subsidiarity</w:t>
      </w:r>
      <w:r>
        <w:t>"</w:t>
      </w:r>
      <w:r>
        <w:rPr>
          <w:vertAlign w:val="superscript"/>
        </w:rPr>
        <w:footnoteReference w:id="104"/>
      </w:r>
      <w:r>
        <w:t>. According to the Court, "</w:t>
      </w:r>
      <w:r>
        <w:rPr>
          <w:i/>
        </w:rPr>
        <w:t xml:space="preserve">The theory of the margin of appreciation has always been seen as a means of defining the relationship between the domestic authorities and the Court. This theory does not apply in the same way to the relationship between the </w:t>
      </w:r>
      <w:r>
        <w:rPr>
          <w:i/>
        </w:rPr>
        <w:lastRenderedPageBreak/>
        <w:t>organs of the State at the domestic level</w:t>
      </w:r>
      <w:r>
        <w:t>"</w:t>
      </w:r>
      <w:r>
        <w:rPr>
          <w:sz w:val="20"/>
          <w:vertAlign w:val="superscript"/>
        </w:rPr>
        <w:footnoteReference w:id="105"/>
      </w:r>
      <w:r>
        <w:t xml:space="preserve">. There is no question at the level of national courts and tribunals of a review that would in principle be only marginal.  </w:t>
      </w:r>
    </w:p>
    <w:p w14:paraId="2DB2EFEC" w14:textId="77777777" w:rsidR="004A3CD3" w:rsidRDefault="006C0598">
      <w:pPr>
        <w:spacing w:after="262" w:line="249" w:lineRule="auto"/>
        <w:ind w:left="1015" w:right="789" w:hanging="566"/>
      </w:pPr>
      <w:r>
        <w:rPr>
          <w:b/>
        </w:rPr>
        <w:t xml:space="preserve">V.3.3 </w:t>
      </w:r>
      <w:r>
        <w:rPr>
          <w:b/>
          <w:u w:val="single" w:color="000000"/>
        </w:rPr>
        <w:t xml:space="preserve">The court wrongly considered that mitigation and adaptation are two adequate responses to global warming and that 450 ppm of GHGs is a limit that should not be exceeded before 2100 </w:t>
      </w:r>
    </w:p>
    <w:p w14:paraId="44AAF837" w14:textId="77777777" w:rsidR="004A3CD3" w:rsidRDefault="006C0598">
      <w:pPr>
        <w:numPr>
          <w:ilvl w:val="0"/>
          <w:numId w:val="49"/>
        </w:numPr>
        <w:ind w:right="791" w:hanging="566"/>
      </w:pPr>
      <w:r>
        <w:t>In examining the obligations arising from Articles 2 and 8 of the ECHR in relation to the measures to be taken, the Court considers that "</w:t>
      </w:r>
      <w:r>
        <w:rPr>
          <w:i/>
        </w:rPr>
        <w:t>appropriate</w:t>
      </w:r>
      <w:r>
        <w:t>" measures may "</w:t>
      </w:r>
      <w:r>
        <w:rPr>
          <w:i/>
        </w:rPr>
        <w:t>be of two kinds: either so-called mitigating measures, which are designed to prevent the danger from materialising, or so-called adaptation measures, which are designed to cushion or attenuate its effects</w:t>
      </w:r>
      <w:r>
        <w:t xml:space="preserve">". </w:t>
      </w:r>
    </w:p>
    <w:p w14:paraId="6E013AC2" w14:textId="77777777" w:rsidR="004A3CD3" w:rsidRDefault="006C0598">
      <w:pPr>
        <w:spacing w:after="259"/>
        <w:ind w:left="1015" w:right="794"/>
      </w:pPr>
      <w:r>
        <w:t xml:space="preserve">Where this consideration equates mitigation and adaptation, it is factually incorrect. As the IPCC's work has shown for many years, the only measures that make a real difference are mitigation measures: reductions in GHG emissions, primarily CO  </w:t>
      </w:r>
      <w:r>
        <w:rPr>
          <w:vertAlign w:val="subscript"/>
        </w:rPr>
        <w:t>2</w:t>
      </w:r>
    </w:p>
    <w:p w14:paraId="40380A14" w14:textId="77777777" w:rsidR="004A3CD3" w:rsidRDefault="006C0598">
      <w:pPr>
        <w:numPr>
          <w:ilvl w:val="0"/>
          <w:numId w:val="49"/>
        </w:numPr>
        <w:spacing w:after="267" w:line="248" w:lineRule="auto"/>
        <w:ind w:right="791" w:hanging="566"/>
      </w:pPr>
      <w:r>
        <w:t>Furthermore, a statement in the judgment concerning the acceptable limit of GHG concentration in the atmosphere is also factually incorrect. This is the following passage: "</w:t>
      </w:r>
      <w:r>
        <w:rPr>
          <w:i/>
        </w:rPr>
        <w:t>The scientific community agrees on the need to contain the concentration of GHGs at 450 ppm by 2100, whereas currently the concentration of GHGs is already above 400 ppm.</w:t>
      </w:r>
      <w:r>
        <w:t xml:space="preserve">" </w:t>
      </w:r>
      <w:r>
        <w:rPr>
          <w:i/>
        </w:rPr>
        <w:t xml:space="preserve"> </w:t>
      </w:r>
      <w:r>
        <w:rPr>
          <w:sz w:val="20"/>
          <w:vertAlign w:val="superscript"/>
        </w:rPr>
        <w:footnoteReference w:id="106"/>
      </w:r>
      <w:r>
        <w:t>As mentioned in the narrative, the 450 ppm limit relates to a warming of 2°C</w:t>
      </w:r>
      <w:r>
        <w:rPr>
          <w:i/>
        </w:rPr>
        <w:t xml:space="preserve"> </w:t>
      </w:r>
      <w:r>
        <w:rPr>
          <w:sz w:val="20"/>
          <w:vertAlign w:val="superscript"/>
        </w:rPr>
        <w:footnoteReference w:id="107"/>
      </w:r>
      <w:r>
        <w:t>, a threshold formally abandoned in the Paris Agreement (2015), following a gradual pathway in that direction from 2009</w:t>
      </w:r>
      <w:r>
        <w:rPr>
          <w:i/>
        </w:rPr>
        <w:t xml:space="preserve"> </w:t>
      </w:r>
      <w:r>
        <w:rPr>
          <w:sz w:val="20"/>
          <w:vertAlign w:val="superscript"/>
        </w:rPr>
        <w:footnoteReference w:id="108"/>
      </w:r>
      <w:r>
        <w:t>. The threshold of "</w:t>
      </w:r>
      <w:r>
        <w:rPr>
          <w:i/>
        </w:rPr>
        <w:t>well below 2°C</w:t>
      </w:r>
      <w:r>
        <w:t xml:space="preserve">" and moving towards 1.5°C enshrined in the Paris Agreement comes with a maximum concentration of </w:t>
      </w:r>
      <w:r>
        <w:rPr>
          <w:b/>
        </w:rPr>
        <w:t xml:space="preserve">430 ppm </w:t>
      </w:r>
      <w:r>
        <w:t>and the residual CO budgets</w:t>
      </w:r>
      <w:r>
        <w:rPr>
          <w:i/>
        </w:rPr>
        <w:t xml:space="preserve"> </w:t>
      </w:r>
      <w:r>
        <w:rPr>
          <w:vertAlign w:val="subscript"/>
        </w:rPr>
        <w:t>2</w:t>
      </w:r>
      <w:r>
        <w:t xml:space="preserve">that follow, as explained above. This factual error is along the same lines as the above error: it gives the impression that there is not so much urgency when in truth there is. </w:t>
      </w:r>
    </w:p>
    <w:p w14:paraId="40E786CB" w14:textId="77777777" w:rsidR="004A3CD3" w:rsidRDefault="006C0598">
      <w:pPr>
        <w:numPr>
          <w:ilvl w:val="0"/>
          <w:numId w:val="49"/>
        </w:numPr>
        <w:ind w:right="791" w:hanging="566"/>
      </w:pPr>
      <w:r>
        <w:t xml:space="preserve">The standard of conduct imposed by Articles 2 and 8 of the ECHR and Article 1382 of the Civil Code is typically assessed in the light of the circumstances of the case. By the distortion they create of the measures to be considered and of the </w:t>
      </w:r>
      <w:r>
        <w:rPr>
          <w:i/>
        </w:rPr>
        <w:t xml:space="preserve">window of opportunity </w:t>
      </w:r>
      <w:r>
        <w:t xml:space="preserve">still available in time to do what is necessary, two key aspects of the case submitted to the Tribunal, the errors of fact noted have a negative impact on the appellants' case. </w:t>
      </w:r>
    </w:p>
    <w:p w14:paraId="0D2AF84F" w14:textId="77777777" w:rsidR="004A3CD3" w:rsidRDefault="006C0598">
      <w:pPr>
        <w:ind w:left="1015" w:right="794"/>
      </w:pPr>
      <w:r>
        <w:t xml:space="preserve">Both of those errors of fact are also such as to have facilitated the erroneous position that the injunctions sought could not be imposed in the light of the separation of powers, in particular in the light of the margin of discretion alleged to exist.  </w:t>
      </w:r>
    </w:p>
    <w:p w14:paraId="4484AB04" w14:textId="77777777" w:rsidR="004A3CD3" w:rsidRDefault="006C0598">
      <w:pPr>
        <w:tabs>
          <w:tab w:val="center" w:pos="3760"/>
          <w:tab w:val="center" w:pos="9372"/>
        </w:tabs>
        <w:spacing w:after="0" w:line="259" w:lineRule="auto"/>
        <w:ind w:left="0" w:right="0" w:firstLine="0"/>
        <w:jc w:val="left"/>
      </w:pPr>
      <w:r>
        <w:tab/>
        <w:t xml:space="preserve">Therefore, the appellants consider that they have been prejudiced. </w:t>
      </w:r>
      <w:r>
        <w:tab/>
        <w:t xml:space="preserve"> </w:t>
      </w:r>
    </w:p>
    <w:p w14:paraId="30A19AC3" w14:textId="77777777" w:rsidR="004A3CD3" w:rsidRDefault="006C0598">
      <w:pPr>
        <w:tabs>
          <w:tab w:val="center" w:pos="1624"/>
        </w:tabs>
        <w:spacing w:after="251" w:line="249" w:lineRule="auto"/>
        <w:ind w:left="0" w:right="0" w:firstLine="0"/>
        <w:jc w:val="left"/>
      </w:pPr>
      <w:r>
        <w:rPr>
          <w:b/>
          <w:sz w:val="28"/>
        </w:rPr>
        <w:t xml:space="preserve">VI. </w:t>
      </w:r>
      <w:r>
        <w:rPr>
          <w:rFonts w:ascii="Arial" w:eastAsia="Arial" w:hAnsi="Arial" w:cs="Arial"/>
          <w:b/>
          <w:sz w:val="28"/>
        </w:rPr>
        <w:tab/>
      </w:r>
      <w:r>
        <w:rPr>
          <w:b/>
          <w:sz w:val="28"/>
          <w:u w:val="single" w:color="000000"/>
        </w:rPr>
        <w:t xml:space="preserve">On-call duty  </w:t>
      </w:r>
    </w:p>
    <w:p w14:paraId="42BAEA4E" w14:textId="77777777" w:rsidR="004A3CD3" w:rsidRDefault="006C0598">
      <w:pPr>
        <w:numPr>
          <w:ilvl w:val="0"/>
          <w:numId w:val="50"/>
        </w:numPr>
        <w:spacing w:after="279"/>
        <w:ind w:right="794" w:hanging="566"/>
      </w:pPr>
      <w:r>
        <w:t xml:space="preserve">Given the extreme urgency of the requested GHG emission reductions that allow the country to do its part to avoid or limit dangerous global warming, and in light of the grossly inadequate governance that the Respondents have demonstrated for decades, the Appellants request that the injunctions be imposed under penalty. More specifically, they request that the respondents be ordered </w:t>
      </w:r>
      <w:r>
        <w:rPr>
          <w:i/>
        </w:rPr>
        <w:t>jointly and severally</w:t>
      </w:r>
      <w:r>
        <w:t xml:space="preserve">, or in default of each other, to pay to the first appellant, Klimaatzaak vzw, a penalty of €1,000,000 per month of delay in reaching the objective imposed </w:t>
      </w:r>
      <w:r>
        <w:lastRenderedPageBreak/>
        <w:t xml:space="preserve">for 2025 and the objective imposed for 2030, starting on 1 </w:t>
      </w:r>
      <w:r>
        <w:rPr>
          <w:vertAlign w:val="superscript"/>
        </w:rPr>
        <w:t>er</w:t>
      </w:r>
      <w:r>
        <w:t xml:space="preserve">August of the year following the deadlines (i.e., in 2026 and 2031). The choice of the </w:t>
      </w:r>
      <w:r>
        <w:rPr>
          <w:vertAlign w:val="superscript"/>
        </w:rPr>
        <w:t>er</w:t>
      </w:r>
      <w:r>
        <w:t xml:space="preserve">August 1 date is explained below. </w:t>
      </w:r>
    </w:p>
    <w:p w14:paraId="17BB8669" w14:textId="77777777" w:rsidR="004A3CD3" w:rsidRDefault="006C0598">
      <w:pPr>
        <w:numPr>
          <w:ilvl w:val="0"/>
          <w:numId w:val="50"/>
        </w:numPr>
        <w:spacing w:after="267"/>
        <w:ind w:right="794" w:hanging="566"/>
      </w:pPr>
      <w:r>
        <w:t>The amount of the periodic penalty payments requested is reasonable. As is well explained in a Dutch academic article dealing with the question of imposing a penalty payment on the Dutch State in the Urgenda case, the amount of the penalty payment must make non-compliance more onerous for the condemned party than compliance. Compliance then becomes the only economically rational option. The authors of this publication estimate at 10 million US dollars the "</w:t>
      </w:r>
      <w:r>
        <w:rPr>
          <w:i/>
        </w:rPr>
        <w:t>reasonable</w:t>
      </w:r>
      <w:r>
        <w:t>" annual amount that could "</w:t>
      </w:r>
      <w:r>
        <w:rPr>
          <w:i/>
        </w:rPr>
        <w:t>induce</w:t>
      </w:r>
      <w:r>
        <w:t>" the Dutch State to comply with the Urgenda judgment, and also emphasize that this amount would not constitute "</w:t>
      </w:r>
      <w:r>
        <w:rPr>
          <w:i/>
        </w:rPr>
        <w:t>a serious burden on the State budget</w:t>
      </w:r>
      <w:r>
        <w:t>"</w:t>
      </w:r>
      <w:r>
        <w:rPr>
          <w:sz w:val="20"/>
          <w:vertAlign w:val="superscript"/>
        </w:rPr>
        <w:footnoteReference w:id="109"/>
      </w:r>
      <w:r>
        <w:t xml:space="preserve">. The penalty payments requested by the appellants to support the enforcement of the injunctions ordering GHG emission reductions over 2025 and 2030 are in a similar range. </w:t>
      </w:r>
    </w:p>
    <w:p w14:paraId="102015FB" w14:textId="77777777" w:rsidR="004A3CD3" w:rsidRDefault="006C0598">
      <w:pPr>
        <w:numPr>
          <w:ilvl w:val="0"/>
          <w:numId w:val="50"/>
        </w:numPr>
        <w:ind w:right="794" w:hanging="566"/>
      </w:pPr>
      <w:r>
        <w:t xml:space="preserve">In this case, we request that the annual reporting of Belgium's GHG emissions to the European Commission be used to monitor compliance with the injunctions. This reporting is done automatically every year, by 31 July at the latest, in accordance with Article 26.2 of Regulation (EU) 2018/1999. This reporting mechanism allows the EU to meet its annual reporting obligation on GHG emissions as a party to the UNFCCC.  </w:t>
      </w:r>
    </w:p>
    <w:p w14:paraId="39F7FBA0" w14:textId="77777777" w:rsidR="004A3CD3" w:rsidRDefault="006C0598">
      <w:pPr>
        <w:ind w:left="1015" w:right="794"/>
      </w:pPr>
      <w:r>
        <w:t xml:space="preserve">Article 26.2 of Regulation (EU) 2018/1999 reads as follows:  </w:t>
      </w:r>
    </w:p>
    <w:p w14:paraId="797D00DD" w14:textId="77777777" w:rsidR="004A3CD3" w:rsidRDefault="006C0598">
      <w:pPr>
        <w:ind w:left="1591" w:right="792" w:hanging="10"/>
      </w:pPr>
      <w:r>
        <w:rPr>
          <w:i/>
        </w:rPr>
        <w:t xml:space="preserve">« 2. By 31 July 2021, and every year thereafter (year X), Member States shall submit to the Commission their proxy greenhouse gas inventories for year X-1.  </w:t>
      </w:r>
    </w:p>
    <w:p w14:paraId="4B971306" w14:textId="77777777" w:rsidR="004A3CD3" w:rsidRDefault="006C0598">
      <w:pPr>
        <w:spacing w:line="248" w:lineRule="auto"/>
        <w:ind w:left="1591" w:right="791" w:hanging="10"/>
      </w:pPr>
      <w:r>
        <w:rPr>
          <w:i/>
        </w:rPr>
        <w:t xml:space="preserve">(…)» </w:t>
      </w:r>
    </w:p>
    <w:p w14:paraId="7DC1A704" w14:textId="77777777" w:rsidR="004A3CD3" w:rsidRDefault="006C0598">
      <w:pPr>
        <w:spacing w:after="267" w:line="248" w:lineRule="auto"/>
        <w:ind w:left="1040" w:right="791" w:hanging="10"/>
      </w:pPr>
      <w:r>
        <w:t xml:space="preserve">The reports must be submitted to the first appellant, Klimaatzaak vzw, on the same day that they are submitted to the European Commission. In the event that the respondents do not communicate these emission reports by 31 July 2026 (for 2025) and/or by 31 July 2031 (for 2030) at the latest, the appellants request that they be ordered, </w:t>
      </w:r>
      <w:r>
        <w:rPr>
          <w:i/>
        </w:rPr>
        <w:t xml:space="preserve">jointly and severally </w:t>
      </w:r>
      <w:r>
        <w:t xml:space="preserve">or in default of each other, to pay a penalty of €10,000 per day of delay in communication. </w:t>
      </w:r>
    </w:p>
    <w:p w14:paraId="09313C7E" w14:textId="77777777" w:rsidR="004A3CD3" w:rsidRDefault="006C0598">
      <w:pPr>
        <w:spacing w:line="248" w:lineRule="auto"/>
        <w:ind w:left="1015" w:right="791" w:hanging="566"/>
      </w:pPr>
      <w:r>
        <w:t xml:space="preserve">163. The appellants also request that you declare that Klimaatzaak vzw undertakes to allocate the accrued penalty payments in full in accordance with its corporate purpose.   </w:t>
      </w:r>
    </w:p>
    <w:p w14:paraId="40EA60F3" w14:textId="77777777" w:rsidR="00E933CB" w:rsidRDefault="00825B93">
      <w:pPr>
        <w:spacing w:after="0" w:line="259" w:lineRule="auto"/>
        <w:ind w:left="464" w:right="0" w:firstLine="0"/>
        <w:jc w:val="left"/>
      </w:pPr>
      <w:r>
        <w:t xml:space="preserve"> </w:t>
      </w:r>
    </w:p>
    <w:p w14:paraId="7A962670" w14:textId="77777777" w:rsidR="004A3CD3" w:rsidRDefault="006C0598">
      <w:pPr>
        <w:numPr>
          <w:ilvl w:val="0"/>
          <w:numId w:val="51"/>
        </w:numPr>
        <w:spacing w:after="203" w:line="249" w:lineRule="auto"/>
        <w:ind w:right="0" w:hanging="1030"/>
        <w:jc w:val="left"/>
      </w:pPr>
      <w:r>
        <w:rPr>
          <w:b/>
          <w:sz w:val="28"/>
          <w:u w:val="single" w:color="000000"/>
        </w:rPr>
        <w:t xml:space="preserve">Costs </w:t>
      </w:r>
    </w:p>
    <w:p w14:paraId="6D4D808F" w14:textId="77777777" w:rsidR="004A3CD3" w:rsidRDefault="006C0598">
      <w:pPr>
        <w:spacing w:after="13"/>
        <w:ind w:left="1030" w:right="794" w:hanging="566"/>
      </w:pPr>
      <w:r>
        <w:t xml:space="preserve">164. The appellants request that the respondents be ordered to pay the procedural costs of the first instance and of the appeal in the amount of €3,120 (€1,560 x 2), consisting of the procedural costs which cannot be valued in money and which will be adjusted on 1 </w:t>
      </w:r>
      <w:r>
        <w:rPr>
          <w:vertAlign w:val="superscript"/>
        </w:rPr>
        <w:t>er</w:t>
      </w:r>
      <w:r>
        <w:t>June 2021</w:t>
      </w:r>
      <w:r>
        <w:rPr>
          <w:sz w:val="20"/>
          <w:vertAlign w:val="superscript"/>
        </w:rPr>
        <w:footnoteReference w:id="110"/>
      </w:r>
      <w:r>
        <w:t xml:space="preserve">. </w:t>
      </w:r>
    </w:p>
    <w:p w14:paraId="5149E11D" w14:textId="77777777" w:rsidR="00E933CB" w:rsidRDefault="00825B93">
      <w:pPr>
        <w:spacing w:after="0" w:line="259" w:lineRule="auto"/>
        <w:ind w:left="464" w:right="0" w:firstLine="0"/>
        <w:jc w:val="left"/>
      </w:pPr>
      <w:r>
        <w:t xml:space="preserve"> </w:t>
      </w:r>
    </w:p>
    <w:p w14:paraId="1A4DF66C" w14:textId="77777777" w:rsidR="00E933CB" w:rsidRDefault="00825B93">
      <w:pPr>
        <w:spacing w:after="0" w:line="259" w:lineRule="auto"/>
        <w:ind w:left="464" w:right="0" w:firstLine="0"/>
        <w:jc w:val="left"/>
      </w:pPr>
      <w:r>
        <w:t xml:space="preserve"> </w:t>
      </w:r>
    </w:p>
    <w:p w14:paraId="3BF33B64" w14:textId="77777777" w:rsidR="00E933CB" w:rsidRDefault="00825B93">
      <w:pPr>
        <w:spacing w:after="0" w:line="259" w:lineRule="auto"/>
        <w:ind w:left="464" w:right="0" w:firstLine="0"/>
        <w:jc w:val="left"/>
      </w:pPr>
      <w:r>
        <w:t xml:space="preserve"> </w:t>
      </w:r>
      <w:r>
        <w:tab/>
        <w:t xml:space="preserve"> </w:t>
      </w:r>
      <w:r>
        <w:br w:type="page"/>
      </w:r>
    </w:p>
    <w:p w14:paraId="7D3A40F8" w14:textId="77777777" w:rsidR="00E933CB" w:rsidRDefault="00825B93">
      <w:pPr>
        <w:spacing w:after="317" w:line="259" w:lineRule="auto"/>
        <w:ind w:left="1030" w:right="0" w:firstLine="0"/>
        <w:jc w:val="left"/>
      </w:pPr>
      <w:r>
        <w:lastRenderedPageBreak/>
        <w:t xml:space="preserve"> </w:t>
      </w:r>
    </w:p>
    <w:p w14:paraId="3EDB5B89" w14:textId="77777777" w:rsidR="004A3CD3" w:rsidRDefault="006C0598">
      <w:pPr>
        <w:numPr>
          <w:ilvl w:val="0"/>
          <w:numId w:val="51"/>
        </w:numPr>
        <w:spacing w:after="48" w:line="249" w:lineRule="auto"/>
        <w:ind w:right="0" w:hanging="1030"/>
        <w:jc w:val="left"/>
      </w:pPr>
      <w:r>
        <w:rPr>
          <w:b/>
          <w:sz w:val="28"/>
          <w:u w:val="single" w:color="000000"/>
        </w:rPr>
        <w:t xml:space="preserve">Device </w:t>
      </w:r>
    </w:p>
    <w:p w14:paraId="005370EA" w14:textId="77777777" w:rsidR="00E933CB" w:rsidRDefault="00825B93">
      <w:pPr>
        <w:spacing w:after="95" w:line="259" w:lineRule="auto"/>
        <w:ind w:left="1030" w:right="0" w:firstLine="0"/>
        <w:jc w:val="left"/>
      </w:pPr>
      <w:r>
        <w:t xml:space="preserve"> </w:t>
      </w:r>
    </w:p>
    <w:p w14:paraId="1C1F61D4" w14:textId="77777777" w:rsidR="004A3CD3" w:rsidRDefault="006C0598">
      <w:pPr>
        <w:spacing w:after="109" w:line="249" w:lineRule="auto"/>
        <w:ind w:left="1025" w:right="788" w:hanging="10"/>
      </w:pPr>
      <w:r>
        <w:rPr>
          <w:b/>
        </w:rPr>
        <w:t xml:space="preserve">FOR THESE REASONS </w:t>
      </w:r>
    </w:p>
    <w:p w14:paraId="7AF8CAEB" w14:textId="77777777" w:rsidR="004A3CD3" w:rsidRDefault="006C0598">
      <w:pPr>
        <w:spacing w:after="118" w:line="242" w:lineRule="auto"/>
        <w:ind w:left="1040" w:right="788" w:hanging="10"/>
      </w:pPr>
      <w:r>
        <w:rPr>
          <w:b/>
          <w:i/>
        </w:rPr>
        <w:t xml:space="preserve">WITHOUT PREJUDICE TO ANY GENERAL RESERVATIONS AND WITHOUT PREJUDICIAL RECOGNITION </w:t>
      </w:r>
    </w:p>
    <w:p w14:paraId="358D9DD8" w14:textId="77777777" w:rsidR="004A3CD3" w:rsidRDefault="006C0598">
      <w:pPr>
        <w:spacing w:after="0" w:line="346" w:lineRule="auto"/>
        <w:ind w:left="1025" w:right="4217" w:hanging="10"/>
      </w:pPr>
      <w:r>
        <w:rPr>
          <w:b/>
        </w:rPr>
        <w:t xml:space="preserve">PLEASES THE BRUSSELS COURT OF APPEAL to declare the present appeal admissible and well-founded and thus </w:t>
      </w:r>
      <w:r>
        <w:t xml:space="preserve">:  </w:t>
      </w:r>
    </w:p>
    <w:p w14:paraId="14ED46B5" w14:textId="77777777" w:rsidR="004A3CD3" w:rsidRDefault="006C0598">
      <w:pPr>
        <w:spacing w:after="143"/>
        <w:ind w:left="1015" w:right="794"/>
      </w:pPr>
      <w:r>
        <w:t xml:space="preserve">1° - Partially amend the judgment under appeal, except for : </w:t>
      </w:r>
    </w:p>
    <w:p w14:paraId="6DBE3C0F" w14:textId="77777777" w:rsidR="004A3CD3" w:rsidRDefault="006C0598">
      <w:pPr>
        <w:numPr>
          <w:ilvl w:val="1"/>
          <w:numId w:val="52"/>
        </w:numPr>
        <w:spacing w:after="27"/>
        <w:ind w:right="792" w:hanging="360"/>
      </w:pPr>
      <w:r>
        <w:t xml:space="preserve">the judgment that the action is admissible in respect of Klimaatzaak vzw and the natural persons who are the principal claimants, listed in Annex A; </w:t>
      </w:r>
    </w:p>
    <w:p w14:paraId="3612EF08" w14:textId="77777777" w:rsidR="004A3CD3" w:rsidRDefault="006C0598">
      <w:pPr>
        <w:numPr>
          <w:ilvl w:val="1"/>
          <w:numId w:val="52"/>
        </w:numPr>
        <w:spacing w:after="27" w:line="248" w:lineRule="auto"/>
        <w:ind w:right="792" w:hanging="360"/>
      </w:pPr>
      <w:r>
        <w:t xml:space="preserve">the judgment which finds that the voluntary intervention of the natural persons listed in Annex B is also admissible; </w:t>
      </w:r>
    </w:p>
    <w:p w14:paraId="0F68C8D2" w14:textId="77777777" w:rsidR="004A3CD3" w:rsidRDefault="006C0598">
      <w:pPr>
        <w:numPr>
          <w:ilvl w:val="1"/>
          <w:numId w:val="52"/>
        </w:numPr>
        <w:spacing w:after="27"/>
        <w:ind w:right="792" w:hanging="360"/>
      </w:pPr>
      <w:r>
        <w:t>the pronouncement that, "</w:t>
      </w:r>
      <w:r>
        <w:rPr>
          <w:i/>
        </w:rPr>
        <w:t>in pursuing their climate policy, the respondents did not behave like normally prudent and diligent authorities, which constitutes a fault within the meaning of Article 1382 of the Civil Code</w:t>
      </w:r>
      <w:r>
        <w:t xml:space="preserve">"; </w:t>
      </w:r>
    </w:p>
    <w:p w14:paraId="41ECDBA2" w14:textId="77777777" w:rsidR="004A3CD3" w:rsidRDefault="006C0598">
      <w:pPr>
        <w:numPr>
          <w:ilvl w:val="1"/>
          <w:numId w:val="52"/>
        </w:numPr>
        <w:ind w:right="792" w:hanging="360"/>
      </w:pPr>
      <w:r>
        <w:t>the pronouncement that, "</w:t>
      </w:r>
      <w:r>
        <w:rPr>
          <w:i/>
        </w:rPr>
        <w:t>in pursuing their climate policy, the respondents infringe the fundamental rights of the appellants, and more specifically Articles 2 and 8 of the ECHR, by failing to take all necessary measures to prevent the effects of climate change on the lives and privacy of the appellants</w:t>
      </w:r>
      <w:r>
        <w:t xml:space="preserve">"; </w:t>
      </w:r>
    </w:p>
    <w:p w14:paraId="36B2AA4C" w14:textId="77777777" w:rsidR="004A3CD3" w:rsidRDefault="006C0598">
      <w:pPr>
        <w:ind w:left="1015" w:right="794"/>
      </w:pPr>
      <w:r>
        <w:t xml:space="preserve">2° - Declare that the standard of conduct imposed by Articles 2 and 8 of the ECHR and Article 1382 of the Civil Code requires the respondents to have reduced the overall volume of annual GHG emissions from Belgian territory by at least 30% by 2020, compared to 1990 levels; </w:t>
      </w:r>
    </w:p>
    <w:p w14:paraId="7F3BF448" w14:textId="77777777" w:rsidR="004A3CD3" w:rsidRDefault="006C0598">
      <w:pPr>
        <w:spacing w:line="248" w:lineRule="auto"/>
        <w:ind w:left="1040" w:right="791" w:hanging="10"/>
      </w:pPr>
      <w:r>
        <w:t xml:space="preserve">3°- Find that the respondents have not reduced the overall volume of annual GHG emissions from Belgian territory by at least 30% by 2020, compared to the 1990 level; </w:t>
      </w:r>
    </w:p>
    <w:p w14:paraId="3A1763B8" w14:textId="77777777" w:rsidR="004A3CD3" w:rsidRDefault="006C0598">
      <w:pPr>
        <w:ind w:left="1015" w:right="794"/>
      </w:pPr>
      <w:r>
        <w:t xml:space="preserve">4°- To confirm that, in pursuing their climate policy over 2020, the Respondents have violated the standard of conduct imposed by Articles 2 and 8 of the ECHR and Article 1382 of the Civil Code; </w:t>
      </w:r>
    </w:p>
    <w:p w14:paraId="2E596389" w14:textId="77777777" w:rsidR="004A3CD3" w:rsidRDefault="006C0598">
      <w:pPr>
        <w:spacing w:line="248" w:lineRule="auto"/>
        <w:ind w:left="1040" w:right="791" w:hanging="10"/>
      </w:pPr>
      <w:r>
        <w:t xml:space="preserve">5°- To rule that the standard of conduct imposed by Articles 2 and 8 of the ECHR and Article 1382 of the Civil Code requires the Respondents to have reduced the overall volume of annual GHG emissions from the Belgian territory by at least 48% by 2025 and by at least 65% by 2030, compared to the 1990 level </w:t>
      </w:r>
    </w:p>
    <w:p w14:paraId="364C4281" w14:textId="77777777" w:rsidR="004A3CD3" w:rsidRDefault="006C0598">
      <w:pPr>
        <w:spacing w:line="251" w:lineRule="auto"/>
        <w:ind w:left="1025" w:right="732" w:hanging="10"/>
        <w:jc w:val="left"/>
      </w:pPr>
      <w:r>
        <w:t xml:space="preserve">6°- Find that there are serious and unequivocal indications that, in pursuing their climate policy for 2030, the Respondents risk disregarding the standard of conduct imposed by Articles 2 and 8 of the ECHR and Article 1382 of the Civil Code;  </w:t>
      </w:r>
    </w:p>
    <w:p w14:paraId="26A0307F" w14:textId="77777777" w:rsidR="004A3CD3" w:rsidRDefault="006C0598">
      <w:pPr>
        <w:spacing w:after="146"/>
        <w:ind w:left="1015" w:right="794"/>
      </w:pPr>
      <w:r>
        <w:t xml:space="preserve">7°- Consequently, order the respondents to take the necessary measures to reduce or cause to be reduced the overall volume of annual GHG emissions from the Belgian territory so as to reach : </w:t>
      </w:r>
    </w:p>
    <w:p w14:paraId="6A71459C" w14:textId="77777777" w:rsidR="004A3CD3" w:rsidRDefault="006C0598">
      <w:pPr>
        <w:numPr>
          <w:ilvl w:val="0"/>
          <w:numId w:val="53"/>
        </w:numPr>
        <w:spacing w:after="60" w:line="248" w:lineRule="auto"/>
        <w:ind w:right="791" w:hanging="360"/>
      </w:pPr>
      <w:r>
        <w:t xml:space="preserve">At least 48% by 2025;  </w:t>
      </w:r>
    </w:p>
    <w:p w14:paraId="16886AD5" w14:textId="77777777" w:rsidR="004A3CD3" w:rsidRDefault="006C0598">
      <w:pPr>
        <w:numPr>
          <w:ilvl w:val="0"/>
          <w:numId w:val="53"/>
        </w:numPr>
        <w:spacing w:line="248" w:lineRule="auto"/>
        <w:ind w:right="791" w:hanging="360"/>
      </w:pPr>
      <w:r>
        <w:t xml:space="preserve">At least 65% by 2030; </w:t>
      </w:r>
    </w:p>
    <w:p w14:paraId="0A773C35" w14:textId="77777777" w:rsidR="004A3CD3" w:rsidRDefault="006C0598">
      <w:pPr>
        <w:spacing w:line="248" w:lineRule="auto"/>
        <w:ind w:left="1040" w:right="791" w:hanging="10"/>
      </w:pPr>
      <w:r>
        <w:lastRenderedPageBreak/>
        <w:t xml:space="preserve">8°- Order the respondents to communicate to the first appellant, Klimaatzaak vzw, the GHG emission reports for 2025 and 2030 on the same day that they are communicated to the European Commission in 2026 and 2031; </w:t>
      </w:r>
    </w:p>
    <w:p w14:paraId="1B4D7407" w14:textId="77777777" w:rsidR="004A3CD3" w:rsidRDefault="006C0598">
      <w:pPr>
        <w:spacing w:line="248" w:lineRule="auto"/>
        <w:ind w:left="1040" w:right="791" w:hanging="10"/>
      </w:pPr>
      <w:r>
        <w:t xml:space="preserve">9° Order the respondents, </w:t>
      </w:r>
      <w:r>
        <w:rPr>
          <w:i/>
        </w:rPr>
        <w:t xml:space="preserve">in solidum </w:t>
      </w:r>
      <w:r>
        <w:t xml:space="preserve">or one in default of the other, to pay to the first appellant, Klimaatzaak vzw, a penalty of €10,000 per day of delay in communicating the GHG emissions report for 2025 and the GHG emissions report for 2030; </w:t>
      </w:r>
    </w:p>
    <w:p w14:paraId="056901EB" w14:textId="77777777" w:rsidR="004A3CD3" w:rsidRDefault="006C0598">
      <w:pPr>
        <w:spacing w:line="248" w:lineRule="auto"/>
        <w:ind w:left="1040" w:right="791" w:hanging="10"/>
      </w:pPr>
      <w:r>
        <w:t xml:space="preserve">10°- Order the Respondents </w:t>
      </w:r>
      <w:r>
        <w:rPr>
          <w:i/>
        </w:rPr>
        <w:t>jointly and severally</w:t>
      </w:r>
      <w:r>
        <w:t xml:space="preserve">, or one in default of the other, to pay to the first appellant, Klimaatzaak vzw, a penalty of 1,000,000 EUR per month of delay in reaching the objective imposed for 2025 and the objective imposed for 2030, and this, as from 1 </w:t>
      </w:r>
      <w:r>
        <w:rPr>
          <w:vertAlign w:val="superscript"/>
        </w:rPr>
        <w:t>er</w:t>
      </w:r>
      <w:r>
        <w:t xml:space="preserve">August of the year 2026 respectively 2031;  </w:t>
      </w:r>
    </w:p>
    <w:p w14:paraId="287B51E4" w14:textId="77777777" w:rsidR="004A3CD3" w:rsidRDefault="006C0598">
      <w:pPr>
        <w:spacing w:line="248" w:lineRule="auto"/>
        <w:ind w:left="1040" w:right="791" w:hanging="10"/>
      </w:pPr>
      <w:r>
        <w:t xml:space="preserve">11°- Act that Klimaatzaak vzw undertakes to allocate the accrued penalty payments in full in accordance with its corporate purpose;  </w:t>
      </w:r>
    </w:p>
    <w:p w14:paraId="1E01502D" w14:textId="77777777" w:rsidR="004A3CD3" w:rsidRDefault="006C0598">
      <w:pPr>
        <w:spacing w:after="107" w:line="249" w:lineRule="auto"/>
        <w:ind w:left="1040" w:right="789" w:hanging="10"/>
      </w:pPr>
      <w:r>
        <w:rPr>
          <w:b/>
          <w:u w:val="single" w:color="000000"/>
        </w:rPr>
        <w:t xml:space="preserve">In any case </w:t>
      </w:r>
    </w:p>
    <w:p w14:paraId="336D989A" w14:textId="77777777" w:rsidR="004A3CD3" w:rsidRDefault="006C0598">
      <w:pPr>
        <w:ind w:left="1015" w:right="794"/>
      </w:pPr>
      <w:r>
        <w:t xml:space="preserve">1° Declare the judgment to be provisionally enforceable; </w:t>
      </w:r>
    </w:p>
    <w:p w14:paraId="0E842603" w14:textId="77777777" w:rsidR="004A3CD3" w:rsidRDefault="006C0598">
      <w:pPr>
        <w:ind w:left="1015" w:right="794"/>
      </w:pPr>
      <w:r>
        <w:t xml:space="preserve">2° Order the Respondents to pay all costs and expenses of the two proceedings, including the procedural damages in the amount of 2 x EUR 1,560, i.e. EUR 3,120.  </w:t>
      </w:r>
    </w:p>
    <w:p w14:paraId="7EB3014D" w14:textId="77777777" w:rsidR="00E933CB" w:rsidRDefault="00825B93">
      <w:pPr>
        <w:spacing w:after="19" w:line="259" w:lineRule="auto"/>
        <w:ind w:left="824" w:right="0" w:firstLine="0"/>
        <w:jc w:val="left"/>
      </w:pPr>
      <w:r>
        <w:t xml:space="preserve"> </w:t>
      </w:r>
    </w:p>
    <w:p w14:paraId="3445DA5D" w14:textId="77777777" w:rsidR="00E933CB" w:rsidRDefault="00825B93">
      <w:pPr>
        <w:spacing w:after="19" w:line="259" w:lineRule="auto"/>
        <w:ind w:left="824" w:right="0" w:firstLine="0"/>
        <w:jc w:val="left"/>
      </w:pPr>
      <w:r>
        <w:t xml:space="preserve"> </w:t>
      </w:r>
    </w:p>
    <w:p w14:paraId="76D6F122" w14:textId="77777777" w:rsidR="004A3CD3" w:rsidRDefault="006C0598">
      <w:pPr>
        <w:spacing w:after="3" w:line="265" w:lineRule="auto"/>
        <w:ind w:left="32" w:right="3" w:hanging="10"/>
        <w:jc w:val="center"/>
      </w:pPr>
      <w:r>
        <w:t xml:space="preserve">For the appellants, </w:t>
      </w:r>
    </w:p>
    <w:p w14:paraId="2EED8CE7" w14:textId="77777777" w:rsidR="00E933CB" w:rsidRDefault="00825B93">
      <w:pPr>
        <w:spacing w:after="16" w:line="259" w:lineRule="auto"/>
        <w:ind w:left="70" w:right="0" w:firstLine="0"/>
        <w:jc w:val="center"/>
      </w:pPr>
      <w:r>
        <w:t xml:space="preserve"> </w:t>
      </w:r>
    </w:p>
    <w:p w14:paraId="6A4354F4" w14:textId="77777777" w:rsidR="004A3CD3" w:rsidRDefault="006C0598">
      <w:pPr>
        <w:spacing w:after="133" w:line="265" w:lineRule="auto"/>
        <w:ind w:left="32" w:right="0" w:hanging="10"/>
        <w:jc w:val="center"/>
      </w:pPr>
      <w:r>
        <w:t xml:space="preserve">November 17, 2021, </w:t>
      </w:r>
    </w:p>
    <w:p w14:paraId="341F0915" w14:textId="77777777" w:rsidR="00E933CB" w:rsidRDefault="00825B93">
      <w:pPr>
        <w:spacing w:after="98" w:line="259" w:lineRule="auto"/>
        <w:ind w:left="464" w:right="0" w:firstLine="0"/>
        <w:jc w:val="left"/>
      </w:pPr>
      <w:r>
        <w:t xml:space="preserve"> </w:t>
      </w:r>
    </w:p>
    <w:p w14:paraId="25AC2872" w14:textId="77777777" w:rsidR="004A3CD3" w:rsidRDefault="006C0598">
      <w:pPr>
        <w:spacing w:after="3" w:line="265" w:lineRule="auto"/>
        <w:ind w:left="32" w:right="0" w:hanging="10"/>
        <w:jc w:val="center"/>
      </w:pPr>
      <w:r>
        <w:t xml:space="preserve">Their advice, </w:t>
      </w:r>
    </w:p>
    <w:p w14:paraId="589871A2" w14:textId="77777777" w:rsidR="00E933CB" w:rsidRDefault="00825B93">
      <w:pPr>
        <w:spacing w:after="0" w:line="259" w:lineRule="auto"/>
        <w:ind w:left="13" w:right="0" w:firstLine="0"/>
        <w:jc w:val="left"/>
      </w:pPr>
      <w:r>
        <w:rPr>
          <w:noProof/>
        </w:rPr>
        <mc:AlternateContent>
          <mc:Choice Requires="wpg">
            <w:drawing>
              <wp:inline distT="0" distB="0" distL="0" distR="0" wp14:anchorId="1FFEE94B" wp14:editId="1148B559">
                <wp:extent cx="5953125" cy="2675763"/>
                <wp:effectExtent l="0" t="0" r="0" b="0"/>
                <wp:docPr id="158186" name="Group 158186"/>
                <wp:cNvGraphicFramePr/>
                <a:graphic xmlns:a="http://schemas.openxmlformats.org/drawingml/2006/main">
                  <a:graphicData uri="http://schemas.microsoft.com/office/word/2010/wordprocessingGroup">
                    <wpg:wgp>
                      <wpg:cNvGrpSpPr/>
                      <wpg:grpSpPr>
                        <a:xfrm>
                          <a:off x="0" y="0"/>
                          <a:ext cx="5953125" cy="2675763"/>
                          <a:chOff x="0" y="0"/>
                          <a:chExt cx="5953125" cy="2675763"/>
                        </a:xfrm>
                      </wpg:grpSpPr>
                      <pic:pic xmlns:pic="http://schemas.openxmlformats.org/drawingml/2006/picture">
                        <pic:nvPicPr>
                          <pic:cNvPr id="13904" name="Picture 13904"/>
                          <pic:cNvPicPr/>
                        </pic:nvPicPr>
                        <pic:blipFill>
                          <a:blip r:embed="rId62"/>
                          <a:stretch>
                            <a:fillRect/>
                          </a:stretch>
                        </pic:blipFill>
                        <pic:spPr>
                          <a:xfrm>
                            <a:off x="0" y="0"/>
                            <a:ext cx="1901190" cy="1013968"/>
                          </a:xfrm>
                          <a:prstGeom prst="rect">
                            <a:avLst/>
                          </a:prstGeom>
                        </pic:spPr>
                      </pic:pic>
                      <pic:pic xmlns:pic="http://schemas.openxmlformats.org/drawingml/2006/picture">
                        <pic:nvPicPr>
                          <pic:cNvPr id="13906" name="Picture 13906"/>
                          <pic:cNvPicPr/>
                        </pic:nvPicPr>
                        <pic:blipFill>
                          <a:blip r:embed="rId63"/>
                          <a:stretch>
                            <a:fillRect/>
                          </a:stretch>
                        </pic:blipFill>
                        <pic:spPr>
                          <a:xfrm>
                            <a:off x="2162175" y="295148"/>
                            <a:ext cx="1732788" cy="1327785"/>
                          </a:xfrm>
                          <a:prstGeom prst="rect">
                            <a:avLst/>
                          </a:prstGeom>
                        </pic:spPr>
                      </pic:pic>
                      <pic:pic xmlns:pic="http://schemas.openxmlformats.org/drawingml/2006/picture">
                        <pic:nvPicPr>
                          <pic:cNvPr id="13908" name="Picture 13908"/>
                          <pic:cNvPicPr/>
                        </pic:nvPicPr>
                        <pic:blipFill>
                          <a:blip r:embed="rId64"/>
                          <a:stretch>
                            <a:fillRect/>
                          </a:stretch>
                        </pic:blipFill>
                        <pic:spPr>
                          <a:xfrm>
                            <a:off x="3743325" y="342773"/>
                            <a:ext cx="1761998" cy="913765"/>
                          </a:xfrm>
                          <a:prstGeom prst="rect">
                            <a:avLst/>
                          </a:prstGeom>
                        </pic:spPr>
                      </pic:pic>
                      <pic:pic xmlns:pic="http://schemas.openxmlformats.org/drawingml/2006/picture">
                        <pic:nvPicPr>
                          <pic:cNvPr id="13910" name="Picture 13910"/>
                          <pic:cNvPicPr/>
                        </pic:nvPicPr>
                        <pic:blipFill>
                          <a:blip r:embed="rId65"/>
                          <a:stretch>
                            <a:fillRect/>
                          </a:stretch>
                        </pic:blipFill>
                        <pic:spPr>
                          <a:xfrm>
                            <a:off x="295275" y="1523873"/>
                            <a:ext cx="2009394" cy="1151890"/>
                          </a:xfrm>
                          <a:prstGeom prst="rect">
                            <a:avLst/>
                          </a:prstGeom>
                        </pic:spPr>
                      </pic:pic>
                      <pic:pic xmlns:pic="http://schemas.openxmlformats.org/drawingml/2006/picture">
                        <pic:nvPicPr>
                          <pic:cNvPr id="13912" name="Picture 13912"/>
                          <pic:cNvPicPr/>
                        </pic:nvPicPr>
                        <pic:blipFill>
                          <a:blip r:embed="rId66"/>
                          <a:stretch>
                            <a:fillRect/>
                          </a:stretch>
                        </pic:blipFill>
                        <pic:spPr>
                          <a:xfrm>
                            <a:off x="2609850" y="1390676"/>
                            <a:ext cx="1797685" cy="1133322"/>
                          </a:xfrm>
                          <a:prstGeom prst="rect">
                            <a:avLst/>
                          </a:prstGeom>
                        </pic:spPr>
                      </pic:pic>
                      <pic:pic xmlns:pic="http://schemas.openxmlformats.org/drawingml/2006/picture">
                        <pic:nvPicPr>
                          <pic:cNvPr id="13914" name="Picture 13914"/>
                          <pic:cNvPicPr/>
                        </pic:nvPicPr>
                        <pic:blipFill>
                          <a:blip r:embed="rId67"/>
                          <a:stretch>
                            <a:fillRect/>
                          </a:stretch>
                        </pic:blipFill>
                        <pic:spPr>
                          <a:xfrm>
                            <a:off x="4543425" y="1594358"/>
                            <a:ext cx="1409700" cy="819150"/>
                          </a:xfrm>
                          <a:prstGeom prst="rect">
                            <a:avLst/>
                          </a:prstGeom>
                        </pic:spPr>
                      </pic:pic>
                      <wps:wsp>
                        <wps:cNvPr id="14010" name="Rectangle 14010"/>
                        <wps:cNvSpPr/>
                        <wps:spPr>
                          <a:xfrm>
                            <a:off x="514655" y="112014"/>
                            <a:ext cx="42144" cy="189937"/>
                          </a:xfrm>
                          <a:prstGeom prst="rect">
                            <a:avLst/>
                          </a:prstGeom>
                          <a:ln>
                            <a:noFill/>
                          </a:ln>
                        </wps:spPr>
                        <wps:txbx>
                          <w:txbxContent>
                            <w:p w14:paraId="4CFE9A2F"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11" name="Rectangle 14011"/>
                        <wps:cNvSpPr/>
                        <wps:spPr>
                          <a:xfrm>
                            <a:off x="514655" y="308610"/>
                            <a:ext cx="42144" cy="189937"/>
                          </a:xfrm>
                          <a:prstGeom prst="rect">
                            <a:avLst/>
                          </a:prstGeom>
                          <a:ln>
                            <a:noFill/>
                          </a:ln>
                        </wps:spPr>
                        <wps:txbx>
                          <w:txbxContent>
                            <w:p w14:paraId="36CF2CA9"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12" name="Rectangle 14012"/>
                        <wps:cNvSpPr/>
                        <wps:spPr>
                          <a:xfrm>
                            <a:off x="514655" y="505206"/>
                            <a:ext cx="42144" cy="189936"/>
                          </a:xfrm>
                          <a:prstGeom prst="rect">
                            <a:avLst/>
                          </a:prstGeom>
                          <a:ln>
                            <a:noFill/>
                          </a:ln>
                        </wps:spPr>
                        <wps:txbx>
                          <w:txbxContent>
                            <w:p w14:paraId="73FB46A1"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13" name="Rectangle 14013"/>
                        <wps:cNvSpPr/>
                        <wps:spPr>
                          <a:xfrm>
                            <a:off x="2877185" y="505206"/>
                            <a:ext cx="42143" cy="189936"/>
                          </a:xfrm>
                          <a:prstGeom prst="rect">
                            <a:avLst/>
                          </a:prstGeom>
                          <a:ln>
                            <a:noFill/>
                          </a:ln>
                        </wps:spPr>
                        <wps:txbx>
                          <w:txbxContent>
                            <w:p w14:paraId="44736F78"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14" name="Rectangle 14014"/>
                        <wps:cNvSpPr/>
                        <wps:spPr>
                          <a:xfrm>
                            <a:off x="4782439" y="505206"/>
                            <a:ext cx="42143" cy="189936"/>
                          </a:xfrm>
                          <a:prstGeom prst="rect">
                            <a:avLst/>
                          </a:prstGeom>
                          <a:ln>
                            <a:noFill/>
                          </a:ln>
                        </wps:spPr>
                        <wps:txbx>
                          <w:txbxContent>
                            <w:p w14:paraId="506D288A"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15" name="Rectangle 14015"/>
                        <wps:cNvSpPr/>
                        <wps:spPr>
                          <a:xfrm>
                            <a:off x="514655" y="701803"/>
                            <a:ext cx="42144" cy="189936"/>
                          </a:xfrm>
                          <a:prstGeom prst="rect">
                            <a:avLst/>
                          </a:prstGeom>
                          <a:ln>
                            <a:noFill/>
                          </a:ln>
                        </wps:spPr>
                        <wps:txbx>
                          <w:txbxContent>
                            <w:p w14:paraId="06FF5A1B"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16" name="Rectangle 14016"/>
                        <wps:cNvSpPr/>
                        <wps:spPr>
                          <a:xfrm>
                            <a:off x="514655" y="896874"/>
                            <a:ext cx="998210" cy="189936"/>
                          </a:xfrm>
                          <a:prstGeom prst="rect">
                            <a:avLst/>
                          </a:prstGeom>
                          <a:ln>
                            <a:noFill/>
                          </a:ln>
                        </wps:spPr>
                        <wps:txbx>
                          <w:txbxContent>
                            <w:p w14:paraId="13CD8DD8" w14:textId="77777777" w:rsidR="004A3CD3" w:rsidRDefault="006C0598">
                              <w:pPr>
                                <w:spacing w:after="160" w:line="259" w:lineRule="auto"/>
                                <w:ind w:left="0" w:right="0" w:firstLine="0"/>
                                <w:jc w:val="left"/>
                              </w:pPr>
                              <w:r>
                                <w:t xml:space="preserve">Carole Billiet </w:t>
                              </w:r>
                            </w:p>
                          </w:txbxContent>
                        </wps:txbx>
                        <wps:bodyPr horzOverflow="overflow" vert="horz" lIns="0" tIns="0" rIns="0" bIns="0" rtlCol="0">
                          <a:noAutofit/>
                        </wps:bodyPr>
                      </wps:wsp>
                      <wps:wsp>
                        <wps:cNvPr id="14017" name="Rectangle 14017"/>
                        <wps:cNvSpPr/>
                        <wps:spPr>
                          <a:xfrm>
                            <a:off x="1264412" y="896874"/>
                            <a:ext cx="42144" cy="189936"/>
                          </a:xfrm>
                          <a:prstGeom prst="rect">
                            <a:avLst/>
                          </a:prstGeom>
                          <a:ln>
                            <a:noFill/>
                          </a:ln>
                        </wps:spPr>
                        <wps:txbx>
                          <w:txbxContent>
                            <w:p w14:paraId="2E2539F9"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18" name="Rectangle 14018"/>
                        <wps:cNvSpPr/>
                        <wps:spPr>
                          <a:xfrm>
                            <a:off x="1634744" y="896874"/>
                            <a:ext cx="42144" cy="189936"/>
                          </a:xfrm>
                          <a:prstGeom prst="rect">
                            <a:avLst/>
                          </a:prstGeom>
                          <a:ln>
                            <a:noFill/>
                          </a:ln>
                        </wps:spPr>
                        <wps:txbx>
                          <w:txbxContent>
                            <w:p w14:paraId="285880C3"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19" name="Rectangle 14019"/>
                        <wps:cNvSpPr/>
                        <wps:spPr>
                          <a:xfrm>
                            <a:off x="2084705" y="896874"/>
                            <a:ext cx="42144" cy="189936"/>
                          </a:xfrm>
                          <a:prstGeom prst="rect">
                            <a:avLst/>
                          </a:prstGeom>
                          <a:ln>
                            <a:noFill/>
                          </a:ln>
                        </wps:spPr>
                        <wps:txbx>
                          <w:txbxContent>
                            <w:p w14:paraId="39DBE89F"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20" name="Rectangle 14020"/>
                        <wps:cNvSpPr/>
                        <wps:spPr>
                          <a:xfrm>
                            <a:off x="2534285" y="896874"/>
                            <a:ext cx="759892" cy="189936"/>
                          </a:xfrm>
                          <a:prstGeom prst="rect">
                            <a:avLst/>
                          </a:prstGeom>
                          <a:ln>
                            <a:noFill/>
                          </a:ln>
                        </wps:spPr>
                        <wps:txbx>
                          <w:txbxContent>
                            <w:p w14:paraId="456FB0A6" w14:textId="77777777" w:rsidR="004A3CD3" w:rsidRDefault="006C0598">
                              <w:pPr>
                                <w:spacing w:after="160" w:line="259" w:lineRule="auto"/>
                                <w:ind w:left="0" w:right="0" w:firstLine="0"/>
                                <w:jc w:val="left"/>
                              </w:pPr>
                              <w:r>
                                <w:t>Luc Depré</w:t>
                              </w:r>
                            </w:p>
                          </w:txbxContent>
                        </wps:txbx>
                        <wps:bodyPr horzOverflow="overflow" vert="horz" lIns="0" tIns="0" rIns="0" bIns="0" rtlCol="0">
                          <a:noAutofit/>
                        </wps:bodyPr>
                      </wps:wsp>
                      <wps:wsp>
                        <wps:cNvPr id="14021" name="Rectangle 14021"/>
                        <wps:cNvSpPr/>
                        <wps:spPr>
                          <a:xfrm>
                            <a:off x="3104261" y="896874"/>
                            <a:ext cx="42143" cy="189936"/>
                          </a:xfrm>
                          <a:prstGeom prst="rect">
                            <a:avLst/>
                          </a:prstGeom>
                          <a:ln>
                            <a:noFill/>
                          </a:ln>
                        </wps:spPr>
                        <wps:txbx>
                          <w:txbxContent>
                            <w:p w14:paraId="5A7185B5"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22" name="Rectangle 14022"/>
                        <wps:cNvSpPr/>
                        <wps:spPr>
                          <a:xfrm>
                            <a:off x="3433445" y="896874"/>
                            <a:ext cx="42143" cy="189936"/>
                          </a:xfrm>
                          <a:prstGeom prst="rect">
                            <a:avLst/>
                          </a:prstGeom>
                          <a:ln>
                            <a:noFill/>
                          </a:ln>
                        </wps:spPr>
                        <wps:txbx>
                          <w:txbxContent>
                            <w:p w14:paraId="77A07BFB"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23" name="Rectangle 14023"/>
                        <wps:cNvSpPr/>
                        <wps:spPr>
                          <a:xfrm>
                            <a:off x="3883279" y="896874"/>
                            <a:ext cx="42143" cy="189936"/>
                          </a:xfrm>
                          <a:prstGeom prst="rect">
                            <a:avLst/>
                          </a:prstGeom>
                          <a:ln>
                            <a:noFill/>
                          </a:ln>
                        </wps:spPr>
                        <wps:txbx>
                          <w:txbxContent>
                            <w:p w14:paraId="28AB5108"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24" name="Rectangle 14024"/>
                        <wps:cNvSpPr/>
                        <wps:spPr>
                          <a:xfrm>
                            <a:off x="4332859" y="896874"/>
                            <a:ext cx="1218066" cy="189936"/>
                          </a:xfrm>
                          <a:prstGeom prst="rect">
                            <a:avLst/>
                          </a:prstGeom>
                          <a:ln>
                            <a:noFill/>
                          </a:ln>
                        </wps:spPr>
                        <wps:txbx>
                          <w:txbxContent>
                            <w:p w14:paraId="5B981A5D" w14:textId="77777777" w:rsidR="004A3CD3" w:rsidRDefault="006C0598">
                              <w:pPr>
                                <w:spacing w:after="160" w:line="259" w:lineRule="auto"/>
                                <w:ind w:left="0" w:right="0" w:firstLine="0"/>
                                <w:jc w:val="left"/>
                              </w:pPr>
                              <w:r>
                                <w:t>Audrey Baeyens</w:t>
                              </w:r>
                            </w:p>
                          </w:txbxContent>
                        </wps:txbx>
                        <wps:bodyPr horzOverflow="overflow" vert="horz" lIns="0" tIns="0" rIns="0" bIns="0" rtlCol="0">
                          <a:noAutofit/>
                        </wps:bodyPr>
                      </wps:wsp>
                      <wps:wsp>
                        <wps:cNvPr id="14025" name="Rectangle 14025"/>
                        <wps:cNvSpPr/>
                        <wps:spPr>
                          <a:xfrm>
                            <a:off x="5247640" y="896874"/>
                            <a:ext cx="42143" cy="189936"/>
                          </a:xfrm>
                          <a:prstGeom prst="rect">
                            <a:avLst/>
                          </a:prstGeom>
                          <a:ln>
                            <a:noFill/>
                          </a:ln>
                        </wps:spPr>
                        <wps:txbx>
                          <w:txbxContent>
                            <w:p w14:paraId="087CA480"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26" name="Rectangle 14026"/>
                        <wps:cNvSpPr/>
                        <wps:spPr>
                          <a:xfrm>
                            <a:off x="514655" y="1093470"/>
                            <a:ext cx="42144" cy="189937"/>
                          </a:xfrm>
                          <a:prstGeom prst="rect">
                            <a:avLst/>
                          </a:prstGeom>
                          <a:ln>
                            <a:noFill/>
                          </a:ln>
                        </wps:spPr>
                        <wps:txbx>
                          <w:txbxContent>
                            <w:p w14:paraId="3C62C664"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27" name="Rectangle 14027"/>
                        <wps:cNvSpPr/>
                        <wps:spPr>
                          <a:xfrm>
                            <a:off x="1276604" y="1093470"/>
                            <a:ext cx="42144" cy="189937"/>
                          </a:xfrm>
                          <a:prstGeom prst="rect">
                            <a:avLst/>
                          </a:prstGeom>
                          <a:ln>
                            <a:noFill/>
                          </a:ln>
                        </wps:spPr>
                        <wps:txbx>
                          <w:txbxContent>
                            <w:p w14:paraId="224B5E5A"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28" name="Rectangle 14028"/>
                        <wps:cNvSpPr/>
                        <wps:spPr>
                          <a:xfrm>
                            <a:off x="514655" y="1290066"/>
                            <a:ext cx="42144" cy="189937"/>
                          </a:xfrm>
                          <a:prstGeom prst="rect">
                            <a:avLst/>
                          </a:prstGeom>
                          <a:ln>
                            <a:noFill/>
                          </a:ln>
                        </wps:spPr>
                        <wps:txbx>
                          <w:txbxContent>
                            <w:p w14:paraId="0CC20B35"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29" name="Rectangle 14029"/>
                        <wps:cNvSpPr/>
                        <wps:spPr>
                          <a:xfrm>
                            <a:off x="1552448" y="1290066"/>
                            <a:ext cx="42144" cy="189937"/>
                          </a:xfrm>
                          <a:prstGeom prst="rect">
                            <a:avLst/>
                          </a:prstGeom>
                          <a:ln>
                            <a:noFill/>
                          </a:ln>
                        </wps:spPr>
                        <wps:txbx>
                          <w:txbxContent>
                            <w:p w14:paraId="7F853711"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30" name="Rectangle 14030"/>
                        <wps:cNvSpPr/>
                        <wps:spPr>
                          <a:xfrm>
                            <a:off x="514655" y="1485138"/>
                            <a:ext cx="42144" cy="189937"/>
                          </a:xfrm>
                          <a:prstGeom prst="rect">
                            <a:avLst/>
                          </a:prstGeom>
                          <a:ln>
                            <a:noFill/>
                          </a:ln>
                        </wps:spPr>
                        <wps:txbx>
                          <w:txbxContent>
                            <w:p w14:paraId="3D808B3B"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31" name="Rectangle 14031"/>
                        <wps:cNvSpPr/>
                        <wps:spPr>
                          <a:xfrm>
                            <a:off x="514655" y="1681734"/>
                            <a:ext cx="42144" cy="189936"/>
                          </a:xfrm>
                          <a:prstGeom prst="rect">
                            <a:avLst/>
                          </a:prstGeom>
                          <a:ln>
                            <a:noFill/>
                          </a:ln>
                        </wps:spPr>
                        <wps:txbx>
                          <w:txbxContent>
                            <w:p w14:paraId="1068D7FE"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32" name="Rectangle 14032"/>
                        <wps:cNvSpPr/>
                        <wps:spPr>
                          <a:xfrm>
                            <a:off x="514655" y="1878330"/>
                            <a:ext cx="42144" cy="189937"/>
                          </a:xfrm>
                          <a:prstGeom prst="rect">
                            <a:avLst/>
                          </a:prstGeom>
                          <a:ln>
                            <a:noFill/>
                          </a:ln>
                        </wps:spPr>
                        <wps:txbx>
                          <w:txbxContent>
                            <w:p w14:paraId="380E181F"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33" name="Rectangle 14033"/>
                        <wps:cNvSpPr/>
                        <wps:spPr>
                          <a:xfrm>
                            <a:off x="5096383" y="1878330"/>
                            <a:ext cx="42143" cy="189937"/>
                          </a:xfrm>
                          <a:prstGeom prst="rect">
                            <a:avLst/>
                          </a:prstGeom>
                          <a:ln>
                            <a:noFill/>
                          </a:ln>
                        </wps:spPr>
                        <wps:txbx>
                          <w:txbxContent>
                            <w:p w14:paraId="59AA6DAA"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34" name="Rectangle 14034"/>
                        <wps:cNvSpPr/>
                        <wps:spPr>
                          <a:xfrm>
                            <a:off x="514655" y="2073403"/>
                            <a:ext cx="42144" cy="189936"/>
                          </a:xfrm>
                          <a:prstGeom prst="rect">
                            <a:avLst/>
                          </a:prstGeom>
                          <a:ln>
                            <a:noFill/>
                          </a:ln>
                        </wps:spPr>
                        <wps:txbx>
                          <w:txbxContent>
                            <w:p w14:paraId="33E9E3EB"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35" name="Rectangle 14035"/>
                        <wps:cNvSpPr/>
                        <wps:spPr>
                          <a:xfrm>
                            <a:off x="514655" y="2269998"/>
                            <a:ext cx="630850" cy="189936"/>
                          </a:xfrm>
                          <a:prstGeom prst="rect">
                            <a:avLst/>
                          </a:prstGeom>
                          <a:ln>
                            <a:noFill/>
                          </a:ln>
                        </wps:spPr>
                        <wps:txbx>
                          <w:txbxContent>
                            <w:p w14:paraId="6B5F44DF" w14:textId="77777777" w:rsidR="004A3CD3" w:rsidRDefault="006C0598">
                              <w:pPr>
                                <w:spacing w:after="160" w:line="259" w:lineRule="auto"/>
                                <w:ind w:left="0" w:right="0" w:firstLine="0"/>
                                <w:jc w:val="left"/>
                              </w:pPr>
                              <w:r>
                                <w:t>Linli Pan</w:t>
                              </w:r>
                            </w:p>
                          </w:txbxContent>
                        </wps:txbx>
                        <wps:bodyPr horzOverflow="overflow" vert="horz" lIns="0" tIns="0" rIns="0" bIns="0" rtlCol="0">
                          <a:noAutofit/>
                        </wps:bodyPr>
                      </wps:wsp>
                      <wps:wsp>
                        <wps:cNvPr id="14036" name="Rectangle 14036"/>
                        <wps:cNvSpPr/>
                        <wps:spPr>
                          <a:xfrm>
                            <a:off x="988568" y="2269998"/>
                            <a:ext cx="57062" cy="189936"/>
                          </a:xfrm>
                          <a:prstGeom prst="rect">
                            <a:avLst/>
                          </a:prstGeom>
                          <a:ln>
                            <a:noFill/>
                          </a:ln>
                        </wps:spPr>
                        <wps:txbx>
                          <w:txbxContent>
                            <w:p w14:paraId="3BF72832" w14:textId="77777777" w:rsidR="004A3CD3" w:rsidRDefault="006C0598">
                              <w:pPr>
                                <w:spacing w:after="160" w:line="259" w:lineRule="auto"/>
                                <w:ind w:left="0" w:right="0" w:firstLine="0"/>
                                <w:jc w:val="left"/>
                              </w:pPr>
                              <w:r>
                                <w:t>-</w:t>
                              </w:r>
                            </w:p>
                          </w:txbxContent>
                        </wps:txbx>
                        <wps:bodyPr horzOverflow="overflow" vert="horz" lIns="0" tIns="0" rIns="0" bIns="0" rtlCol="0">
                          <a:noAutofit/>
                        </wps:bodyPr>
                      </wps:wsp>
                      <wps:wsp>
                        <wps:cNvPr id="14037" name="Rectangle 14037"/>
                        <wps:cNvSpPr/>
                        <wps:spPr>
                          <a:xfrm>
                            <a:off x="1031240" y="2269998"/>
                            <a:ext cx="724462" cy="189936"/>
                          </a:xfrm>
                          <a:prstGeom prst="rect">
                            <a:avLst/>
                          </a:prstGeom>
                          <a:ln>
                            <a:noFill/>
                          </a:ln>
                        </wps:spPr>
                        <wps:txbx>
                          <w:txbxContent>
                            <w:p w14:paraId="5C1A37E8" w14:textId="77777777" w:rsidR="004A3CD3" w:rsidRDefault="006C0598">
                              <w:pPr>
                                <w:spacing w:after="160" w:line="259" w:lineRule="auto"/>
                                <w:ind w:left="0" w:right="0" w:firstLine="0"/>
                                <w:jc w:val="left"/>
                              </w:pPr>
                              <w:r>
                                <w:t>Van de M</w:t>
                              </w:r>
                            </w:p>
                          </w:txbxContent>
                        </wps:txbx>
                        <wps:bodyPr horzOverflow="overflow" vert="horz" lIns="0" tIns="0" rIns="0" bIns="0" rtlCol="0">
                          <a:noAutofit/>
                        </wps:bodyPr>
                      </wps:wsp>
                      <wps:wsp>
                        <wps:cNvPr id="14038" name="Rectangle 14038"/>
                        <wps:cNvSpPr/>
                        <wps:spPr>
                          <a:xfrm>
                            <a:off x="1575308" y="2269998"/>
                            <a:ext cx="856860" cy="189936"/>
                          </a:xfrm>
                          <a:prstGeom prst="rect">
                            <a:avLst/>
                          </a:prstGeom>
                          <a:ln>
                            <a:noFill/>
                          </a:ln>
                        </wps:spPr>
                        <wps:txbx>
                          <w:txbxContent>
                            <w:p w14:paraId="4052B3D3" w14:textId="77777777" w:rsidR="004A3CD3" w:rsidRDefault="006C0598">
                              <w:pPr>
                                <w:spacing w:after="160" w:line="259" w:lineRule="auto"/>
                                <w:ind w:left="0" w:right="0" w:firstLine="0"/>
                                <w:jc w:val="left"/>
                              </w:pPr>
                              <w:r>
                                <w:t>eulebroeke</w:t>
                              </w:r>
                            </w:p>
                          </w:txbxContent>
                        </wps:txbx>
                        <wps:bodyPr horzOverflow="overflow" vert="horz" lIns="0" tIns="0" rIns="0" bIns="0" rtlCol="0">
                          <a:noAutofit/>
                        </wps:bodyPr>
                      </wps:wsp>
                      <wps:wsp>
                        <wps:cNvPr id="14039" name="Rectangle 14039"/>
                        <wps:cNvSpPr/>
                        <wps:spPr>
                          <a:xfrm>
                            <a:off x="2218817" y="2269998"/>
                            <a:ext cx="42144" cy="189936"/>
                          </a:xfrm>
                          <a:prstGeom prst="rect">
                            <a:avLst/>
                          </a:prstGeom>
                          <a:ln>
                            <a:noFill/>
                          </a:ln>
                        </wps:spPr>
                        <wps:txbx>
                          <w:txbxContent>
                            <w:p w14:paraId="2D8C34B5"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40" name="Rectangle 14040"/>
                        <wps:cNvSpPr/>
                        <wps:spPr>
                          <a:xfrm>
                            <a:off x="2534285" y="2269998"/>
                            <a:ext cx="42144" cy="189936"/>
                          </a:xfrm>
                          <a:prstGeom prst="rect">
                            <a:avLst/>
                          </a:prstGeom>
                          <a:ln>
                            <a:noFill/>
                          </a:ln>
                        </wps:spPr>
                        <wps:txbx>
                          <w:txbxContent>
                            <w:p w14:paraId="79CFD99C"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41" name="Rectangle 14041"/>
                        <wps:cNvSpPr/>
                        <wps:spPr>
                          <a:xfrm>
                            <a:off x="2983865" y="2269998"/>
                            <a:ext cx="1367620" cy="189936"/>
                          </a:xfrm>
                          <a:prstGeom prst="rect">
                            <a:avLst/>
                          </a:prstGeom>
                          <a:ln>
                            <a:noFill/>
                          </a:ln>
                        </wps:spPr>
                        <wps:txbx>
                          <w:txbxContent>
                            <w:p w14:paraId="5CB81C5C" w14:textId="77777777" w:rsidR="004A3CD3" w:rsidRDefault="006C0598">
                              <w:pPr>
                                <w:spacing w:after="160" w:line="259" w:lineRule="auto"/>
                                <w:ind w:left="0" w:right="0" w:firstLine="0"/>
                                <w:jc w:val="left"/>
                              </w:pPr>
                              <w:r>
                                <w:t>Camille de Bueger</w:t>
                              </w:r>
                            </w:p>
                          </w:txbxContent>
                        </wps:txbx>
                        <wps:bodyPr horzOverflow="overflow" vert="horz" lIns="0" tIns="0" rIns="0" bIns="0" rtlCol="0">
                          <a:noAutofit/>
                        </wps:bodyPr>
                      </wps:wsp>
                      <wps:wsp>
                        <wps:cNvPr id="14042" name="Rectangle 14042"/>
                        <wps:cNvSpPr/>
                        <wps:spPr>
                          <a:xfrm>
                            <a:off x="4011295" y="2269998"/>
                            <a:ext cx="42143" cy="189936"/>
                          </a:xfrm>
                          <a:prstGeom prst="rect">
                            <a:avLst/>
                          </a:prstGeom>
                          <a:ln>
                            <a:noFill/>
                          </a:ln>
                        </wps:spPr>
                        <wps:txbx>
                          <w:txbxContent>
                            <w:p w14:paraId="095A7F09"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43" name="Rectangle 14043"/>
                        <wps:cNvSpPr/>
                        <wps:spPr>
                          <a:xfrm>
                            <a:off x="4332859" y="2269998"/>
                            <a:ext cx="42143" cy="189936"/>
                          </a:xfrm>
                          <a:prstGeom prst="rect">
                            <a:avLst/>
                          </a:prstGeom>
                          <a:ln>
                            <a:noFill/>
                          </a:ln>
                        </wps:spPr>
                        <wps:txbx>
                          <w:txbxContent>
                            <w:p w14:paraId="6EA2DB22"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44" name="Rectangle 14044"/>
                        <wps:cNvSpPr/>
                        <wps:spPr>
                          <a:xfrm>
                            <a:off x="4782439" y="2269998"/>
                            <a:ext cx="1177973" cy="189936"/>
                          </a:xfrm>
                          <a:prstGeom prst="rect">
                            <a:avLst/>
                          </a:prstGeom>
                          <a:ln>
                            <a:noFill/>
                          </a:ln>
                        </wps:spPr>
                        <wps:txbx>
                          <w:txbxContent>
                            <w:p w14:paraId="1C64E045" w14:textId="77777777" w:rsidR="004A3CD3" w:rsidRDefault="006C0598">
                              <w:pPr>
                                <w:spacing w:after="160" w:line="259" w:lineRule="auto"/>
                                <w:ind w:left="0" w:right="0" w:firstLine="0"/>
                                <w:jc w:val="left"/>
                              </w:pPr>
                              <w:r>
                                <w:t>Gautier Rolland</w:t>
                              </w:r>
                            </w:p>
                          </w:txbxContent>
                        </wps:txbx>
                        <wps:bodyPr horzOverflow="overflow" vert="horz" lIns="0" tIns="0" rIns="0" bIns="0" rtlCol="0">
                          <a:noAutofit/>
                        </wps:bodyPr>
                      </wps:wsp>
                      <wps:wsp>
                        <wps:cNvPr id="14045" name="Rectangle 14045"/>
                        <wps:cNvSpPr/>
                        <wps:spPr>
                          <a:xfrm>
                            <a:off x="5666740" y="2269998"/>
                            <a:ext cx="42143" cy="189936"/>
                          </a:xfrm>
                          <a:prstGeom prst="rect">
                            <a:avLst/>
                          </a:prstGeom>
                          <a:ln>
                            <a:noFill/>
                          </a:ln>
                        </wps:spPr>
                        <wps:txbx>
                          <w:txbxContent>
                            <w:p w14:paraId="44B80F56"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s:wsp>
                        <wps:cNvPr id="14046" name="Rectangle 14046"/>
                        <wps:cNvSpPr/>
                        <wps:spPr>
                          <a:xfrm>
                            <a:off x="514655" y="2466976"/>
                            <a:ext cx="42144" cy="189936"/>
                          </a:xfrm>
                          <a:prstGeom prst="rect">
                            <a:avLst/>
                          </a:prstGeom>
                          <a:ln>
                            <a:noFill/>
                          </a:ln>
                        </wps:spPr>
                        <wps:txbx>
                          <w:txbxContent>
                            <w:p w14:paraId="50250F3F" w14:textId="77777777" w:rsidR="00E933CB" w:rsidRDefault="00825B93">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pic="http://schemas.openxmlformats.org/drawingml/2006/picture" xmlns:a="http://schemas.openxmlformats.org/drawingml/2006/main">
            <w:pict>
              <v:group id="Group 158186" style="width:468.75pt;height:210.69pt;mso-position-horizontal-relative:char;mso-position-vertical-relative:line" coordsize="59531,26757">
                <v:shape id="Picture 13904" style="position:absolute;width:19011;height:10139;left:0;top:0;" filled="f">
                  <v:imagedata r:id="rId147"/>
                </v:shape>
                <v:shape id="Picture 13906" style="position:absolute;width:17327;height:13277;left:21621;top:2951;" filled="f">
                  <v:imagedata r:id="rId148"/>
                </v:shape>
                <v:shape id="Picture 13908" style="position:absolute;width:17619;height:9137;left:37433;top:3427;" filled="f">
                  <v:imagedata r:id="rId149"/>
                </v:shape>
                <v:shape id="Picture 13910" style="position:absolute;width:20093;height:11518;left:2952;top:15238;" filled="f">
                  <v:imagedata r:id="rId150"/>
                </v:shape>
                <v:shape id="Picture 13912" style="position:absolute;width:17976;height:11333;left:26098;top:13906;" filled="f">
                  <v:imagedata r:id="rId151"/>
                </v:shape>
                <v:shape id="Picture 13914" style="position:absolute;width:14097;height:8191;left:45434;top:15943;" filled="f">
                  <v:imagedata r:id="rId152"/>
                </v:shape>
                <v:rect id="Rectangle 14010" style="position:absolute;width:421;height:1899;left:5146;top:1120;" filled="f" stroked="f">
                  <v:textbox inset="0,0,0,0">
                    <w:txbxContent>
                      <w:p>
                        <w:pPr>
                          <w:spacing w:before="0" w:after="160" w:line="259" w:lineRule="auto"/>
                          <w:ind w:start="0" w:end="0" w:firstLine="0"/>
                          <w:jc w:val="left"/>
                        </w:pPr>
                        <w:r>
                          <w:rPr/>
                          <w:t xml:space="preserve"> </w:t>
                        </w:r>
                      </w:p>
                    </w:txbxContent>
                  </v:textbox>
                </v:rect>
                <v:rect id="Rectangle 14011" style="position:absolute;width:421;height:1899;left:5146;top:3086;" filled="f" stroked="f">
                  <v:textbox inset="0,0,0,0">
                    <w:txbxContent>
                      <w:p>
                        <w:pPr>
                          <w:spacing w:before="0" w:after="160" w:line="259" w:lineRule="auto"/>
                          <w:ind w:start="0" w:end="0" w:firstLine="0"/>
                          <w:jc w:val="left"/>
                        </w:pPr>
                        <w:r>
                          <w:rPr/>
                          <w:t xml:space="preserve"> </w:t>
                        </w:r>
                      </w:p>
                    </w:txbxContent>
                  </v:textbox>
                </v:rect>
                <v:rect id="Rectangle 14012" style="position:absolute;width:421;height:1899;left:5146;top:5052;" filled="f" stroked="f">
                  <v:textbox inset="0,0,0,0">
                    <w:txbxContent>
                      <w:p>
                        <w:pPr>
                          <w:spacing w:before="0" w:after="160" w:line="259" w:lineRule="auto"/>
                          <w:ind w:start="0" w:end="0" w:firstLine="0"/>
                          <w:jc w:val="left"/>
                        </w:pPr>
                        <w:r>
                          <w:rPr/>
                          <w:t xml:space="preserve"> </w:t>
                        </w:r>
                      </w:p>
                    </w:txbxContent>
                  </v:textbox>
                </v:rect>
                <v:rect id="Rectangle 14013" style="position:absolute;width:421;height:1899;left:28771;top:5052;" filled="f" stroked="f">
                  <v:textbox inset="0,0,0,0">
                    <w:txbxContent>
                      <w:p>
                        <w:pPr>
                          <w:spacing w:before="0" w:after="160" w:line="259" w:lineRule="auto"/>
                          <w:ind w:start="0" w:end="0" w:firstLine="0"/>
                          <w:jc w:val="left"/>
                        </w:pPr>
                        <w:r>
                          <w:rPr/>
                          <w:t xml:space="preserve"> </w:t>
                        </w:r>
                      </w:p>
                    </w:txbxContent>
                  </v:textbox>
                </v:rect>
                <v:rect id="Rectangle 14014" style="position:absolute;width:421;height:1899;left:47824;top:5052;" filled="f" stroked="f">
                  <v:textbox inset="0,0,0,0">
                    <w:txbxContent>
                      <w:p>
                        <w:pPr>
                          <w:spacing w:before="0" w:after="160" w:line="259" w:lineRule="auto"/>
                          <w:ind w:start="0" w:end="0" w:firstLine="0"/>
                          <w:jc w:val="left"/>
                        </w:pPr>
                        <w:r>
                          <w:rPr/>
                          <w:t xml:space="preserve"> </w:t>
                        </w:r>
                      </w:p>
                    </w:txbxContent>
                  </v:textbox>
                </v:rect>
                <v:rect id="Rectangle 14015" style="position:absolute;width:421;height:1899;left:5146;top:7018;" filled="f" stroked="f">
                  <v:textbox inset="0,0,0,0">
                    <w:txbxContent>
                      <w:p>
                        <w:pPr>
                          <w:spacing w:before="0" w:after="160" w:line="259" w:lineRule="auto"/>
                          <w:ind w:start="0" w:end="0" w:firstLine="0"/>
                          <w:jc w:val="left"/>
                        </w:pPr>
                        <w:r>
                          <w:rPr/>
                          <w:t xml:space="preserve"> </w:t>
                        </w:r>
                      </w:p>
                    </w:txbxContent>
                  </v:textbox>
                </v:rect>
                <v:rect id="Rectangle 14016" style="position:absolute;width:9982;height:1899;left:5146;top:8968;" filled="f" stroked="f">
                  <v:textbox inset="0,0,0,0">
                    <w:txbxContent>
                      <w:p>
                        <w:pPr>
                          <w:spacing w:before="0" w:after="160" w:line="259" w:lineRule="auto"/>
                          <w:ind w:start="0" w:end="0" w:firstLine="0"/>
                          <w:jc w:val="left"/>
                        </w:pPr>
                        <w:r>
                          <w:rPr/>
                          <w:t xml:space="preserve">Carole Billiet </w:t>
                        </w:r>
                      </w:p>
                    </w:txbxContent>
                  </v:textbox>
                </v:rect>
                <v:rect id="Rectangle 14017" style="position:absolute;width:421;height:1899;left:12644;top:8968;" filled="f" stroked="f">
                  <v:textbox inset="0,0,0,0">
                    <w:txbxContent>
                      <w:p>
                        <w:pPr>
                          <w:spacing w:before="0" w:after="160" w:line="259" w:lineRule="auto"/>
                          <w:ind w:start="0" w:end="0" w:firstLine="0"/>
                          <w:jc w:val="left"/>
                        </w:pPr>
                        <w:r>
                          <w:rPr/>
                          <w:t xml:space="preserve"> </w:t>
                        </w:r>
                      </w:p>
                    </w:txbxContent>
                  </v:textbox>
                </v:rect>
                <v:rect id="Rectangle 14018" style="position:absolute;width:421;height:1899;left:16347;top:8968;" filled="f" stroked="f">
                  <v:textbox inset="0,0,0,0">
                    <w:txbxContent>
                      <w:p>
                        <w:pPr>
                          <w:spacing w:before="0" w:after="160" w:line="259" w:lineRule="auto"/>
                          <w:ind w:start="0" w:end="0" w:firstLine="0"/>
                          <w:jc w:val="left"/>
                        </w:pPr>
                        <w:r>
                          <w:rPr/>
                          <w:t xml:space="preserve"> </w:t>
                        </w:r>
                      </w:p>
                    </w:txbxContent>
                  </v:textbox>
                </v:rect>
                <v:rect id="Rectangle 14019" style="position:absolute;width:421;height:1899;left:20847;top:8968;" filled="f" stroked="f">
                  <v:textbox inset="0,0,0,0">
                    <w:txbxContent>
                      <w:p>
                        <w:pPr>
                          <w:spacing w:before="0" w:after="160" w:line="259" w:lineRule="auto"/>
                          <w:ind w:start="0" w:end="0" w:firstLine="0"/>
                          <w:jc w:val="left"/>
                        </w:pPr>
                        <w:r>
                          <w:rPr/>
                          <w:t xml:space="preserve"> </w:t>
                        </w:r>
                      </w:p>
                    </w:txbxContent>
                  </v:textbox>
                </v:rect>
                <v:rect id="Rectangle 14020" style="position:absolute;width:7598;height:1899;left:25342;top:8968;" filled="f" stroked="f">
                  <v:textbox inset="0,0,0,0">
                    <w:txbxContent>
                      <w:p>
                        <w:pPr>
                          <w:spacing w:before="0" w:after="160" w:line="259" w:lineRule="auto"/>
                          <w:ind w:start="0" w:end="0" w:firstLine="0"/>
                          <w:jc w:val="left"/>
                        </w:pPr>
                        <w:r>
                          <w:rPr/>
                          <w:t xml:space="preserve">Luc Depré</w:t>
                        </w:r>
                      </w:p>
                    </w:txbxContent>
                  </v:textbox>
                </v:rect>
                <v:rect id="Rectangle 14021" style="position:absolute;width:421;height:1899;left:31042;top:8968;" filled="f" stroked="f">
                  <v:textbox inset="0,0,0,0">
                    <w:txbxContent>
                      <w:p>
                        <w:pPr>
                          <w:spacing w:before="0" w:after="160" w:line="259" w:lineRule="auto"/>
                          <w:ind w:start="0" w:end="0" w:firstLine="0"/>
                          <w:jc w:val="left"/>
                        </w:pPr>
                        <w:r>
                          <w:rPr/>
                          <w:t xml:space="preserve"> </w:t>
                        </w:r>
                      </w:p>
                    </w:txbxContent>
                  </v:textbox>
                </v:rect>
                <v:rect id="Rectangle 14022" style="position:absolute;width:421;height:1899;left:34334;top:8968;" filled="f" stroked="f">
                  <v:textbox inset="0,0,0,0">
                    <w:txbxContent>
                      <w:p>
                        <w:pPr>
                          <w:spacing w:before="0" w:after="160" w:line="259" w:lineRule="auto"/>
                          <w:ind w:start="0" w:end="0" w:firstLine="0"/>
                          <w:jc w:val="left"/>
                        </w:pPr>
                        <w:r>
                          <w:rPr/>
                          <w:t xml:space="preserve"> </w:t>
                        </w:r>
                      </w:p>
                    </w:txbxContent>
                  </v:textbox>
                </v:rect>
                <v:rect id="Rectangle 14023" style="position:absolute;width:421;height:1899;left:38832;top:8968;" filled="f" stroked="f">
                  <v:textbox inset="0,0,0,0">
                    <w:txbxContent>
                      <w:p>
                        <w:pPr>
                          <w:spacing w:before="0" w:after="160" w:line="259" w:lineRule="auto"/>
                          <w:ind w:start="0" w:end="0" w:firstLine="0"/>
                          <w:jc w:val="left"/>
                        </w:pPr>
                        <w:r>
                          <w:rPr/>
                          <w:t xml:space="preserve"> </w:t>
                        </w:r>
                      </w:p>
                    </w:txbxContent>
                  </v:textbox>
                </v:rect>
                <v:rect id="Rectangle 14024" style="position:absolute;width:12180;height:1899;left:43328;top:8968;" filled="f" stroked="f">
                  <v:textbox inset="0,0,0,0">
                    <w:txbxContent>
                      <w:p>
                        <w:pPr>
                          <w:spacing w:before="0" w:after="160" w:line="259" w:lineRule="auto"/>
                          <w:ind w:start="0" w:end="0" w:firstLine="0"/>
                          <w:jc w:val="left"/>
                        </w:pPr>
                        <w:r>
                          <w:rPr/>
                          <w:t xml:space="preserve">Audrey Baeyens</w:t>
                        </w:r>
                      </w:p>
                    </w:txbxContent>
                  </v:textbox>
                </v:rect>
                <v:rect id="Rectangle 14025" style="position:absolute;width:421;height:1899;left:52476;top:8968;" filled="f" stroked="f">
                  <v:textbox inset="0,0,0,0">
                    <w:txbxContent>
                      <w:p>
                        <w:pPr>
                          <w:spacing w:before="0" w:after="160" w:line="259" w:lineRule="auto"/>
                          <w:ind w:start="0" w:end="0" w:firstLine="0"/>
                          <w:jc w:val="left"/>
                        </w:pPr>
                        <w:r>
                          <w:rPr/>
                          <w:t xml:space="preserve"> </w:t>
                        </w:r>
                      </w:p>
                    </w:txbxContent>
                  </v:textbox>
                </v:rect>
                <v:rect id="Rectangle 14026" style="position:absolute;width:421;height:1899;left:5146;top:10934;" filled="f" stroked="f">
                  <v:textbox inset="0,0,0,0">
                    <w:txbxContent>
                      <w:p>
                        <w:pPr>
                          <w:spacing w:before="0" w:after="160" w:line="259" w:lineRule="auto"/>
                          <w:ind w:start="0" w:end="0" w:firstLine="0"/>
                          <w:jc w:val="left"/>
                        </w:pPr>
                        <w:r>
                          <w:rPr/>
                          <w:t xml:space="preserve"> </w:t>
                        </w:r>
                      </w:p>
                    </w:txbxContent>
                  </v:textbox>
                </v:rect>
                <v:rect id="Rectangle 14027" style="position:absolute;width:421;height:1899;left:12766;top:10934;" filled="f" stroked="f">
                  <v:textbox inset="0,0,0,0">
                    <w:txbxContent>
                      <w:p>
                        <w:pPr>
                          <w:spacing w:before="0" w:after="160" w:line="259" w:lineRule="auto"/>
                          <w:ind w:start="0" w:end="0" w:firstLine="0"/>
                          <w:jc w:val="left"/>
                        </w:pPr>
                        <w:r>
                          <w:rPr/>
                          <w:t xml:space="preserve"> </w:t>
                        </w:r>
                      </w:p>
                    </w:txbxContent>
                  </v:textbox>
                </v:rect>
                <v:rect id="Rectangle 14028" style="position:absolute;width:421;height:1899;left:5146;top:12900;" filled="f" stroked="f">
                  <v:textbox inset="0,0,0,0">
                    <w:txbxContent>
                      <w:p>
                        <w:pPr>
                          <w:spacing w:before="0" w:after="160" w:line="259" w:lineRule="auto"/>
                          <w:ind w:start="0" w:end="0" w:firstLine="0"/>
                          <w:jc w:val="left"/>
                        </w:pPr>
                        <w:r>
                          <w:rPr/>
                          <w:t xml:space="preserve"> </w:t>
                        </w:r>
                      </w:p>
                    </w:txbxContent>
                  </v:textbox>
                </v:rect>
                <v:rect id="Rectangle 14029" style="position:absolute;width:421;height:1899;left:15524;top:12900;" filled="f" stroked="f">
                  <v:textbox inset="0,0,0,0">
                    <w:txbxContent>
                      <w:p>
                        <w:pPr>
                          <w:spacing w:before="0" w:after="160" w:line="259" w:lineRule="auto"/>
                          <w:ind w:start="0" w:end="0" w:firstLine="0"/>
                          <w:jc w:val="left"/>
                        </w:pPr>
                        <w:r>
                          <w:rPr/>
                          <w:t xml:space="preserve"> </w:t>
                        </w:r>
                      </w:p>
                    </w:txbxContent>
                  </v:textbox>
                </v:rect>
                <v:rect id="Rectangle 14030" style="position:absolute;width:421;height:1899;left:5146;top:14851;" filled="f" stroked="f">
                  <v:textbox inset="0,0,0,0">
                    <w:txbxContent>
                      <w:p>
                        <w:pPr>
                          <w:spacing w:before="0" w:after="160" w:line="259" w:lineRule="auto"/>
                          <w:ind w:start="0" w:end="0" w:firstLine="0"/>
                          <w:jc w:val="left"/>
                        </w:pPr>
                        <w:r>
                          <w:rPr/>
                          <w:t xml:space="preserve"> </w:t>
                        </w:r>
                      </w:p>
                    </w:txbxContent>
                  </v:textbox>
                </v:rect>
                <v:rect id="Rectangle 14031" style="position:absolute;width:421;height:1899;left:5146;top:16817;" filled="f" stroked="f">
                  <v:textbox inset="0,0,0,0">
                    <w:txbxContent>
                      <w:p>
                        <w:pPr>
                          <w:spacing w:before="0" w:after="160" w:line="259" w:lineRule="auto"/>
                          <w:ind w:start="0" w:end="0" w:firstLine="0"/>
                          <w:jc w:val="left"/>
                        </w:pPr>
                        <w:r>
                          <w:rPr/>
                          <w:t xml:space="preserve"> </w:t>
                        </w:r>
                      </w:p>
                    </w:txbxContent>
                  </v:textbox>
                </v:rect>
                <v:rect id="Rectangle 14032" style="position:absolute;width:421;height:1899;left:5146;top:18783;" filled="f" stroked="f">
                  <v:textbox inset="0,0,0,0">
                    <w:txbxContent>
                      <w:p>
                        <w:pPr>
                          <w:spacing w:before="0" w:after="160" w:line="259" w:lineRule="auto"/>
                          <w:ind w:start="0" w:end="0" w:firstLine="0"/>
                          <w:jc w:val="left"/>
                        </w:pPr>
                        <w:r>
                          <w:rPr/>
                          <w:t xml:space="preserve"> </w:t>
                        </w:r>
                      </w:p>
                    </w:txbxContent>
                  </v:textbox>
                </v:rect>
                <v:rect id="Rectangle 14033" style="position:absolute;width:421;height:1899;left:50963;top:18783;" filled="f" stroked="f">
                  <v:textbox inset="0,0,0,0">
                    <w:txbxContent>
                      <w:p>
                        <w:pPr>
                          <w:spacing w:before="0" w:after="160" w:line="259" w:lineRule="auto"/>
                          <w:ind w:start="0" w:end="0" w:firstLine="0"/>
                          <w:jc w:val="left"/>
                        </w:pPr>
                        <w:r>
                          <w:rPr/>
                          <w:t xml:space="preserve"> </w:t>
                        </w:r>
                      </w:p>
                    </w:txbxContent>
                  </v:textbox>
                </v:rect>
                <v:rect id="Rectangle 14034" style="position:absolute;width:421;height:1899;left:5146;top:20734;" filled="f" stroked="f">
                  <v:textbox inset="0,0,0,0">
                    <w:txbxContent>
                      <w:p>
                        <w:pPr>
                          <w:spacing w:before="0" w:after="160" w:line="259" w:lineRule="auto"/>
                          <w:ind w:start="0" w:end="0" w:firstLine="0"/>
                          <w:jc w:val="left"/>
                        </w:pPr>
                        <w:r>
                          <w:rPr/>
                          <w:t xml:space="preserve"> </w:t>
                        </w:r>
                      </w:p>
                    </w:txbxContent>
                  </v:textbox>
                </v:rect>
                <v:rect id="Rectangle 14035" style="position:absolute;width:6308;height:1899;left:5146;top:22699;" filled="f" stroked="f">
                  <v:textbox inset="0,0,0,0">
                    <w:txbxContent>
                      <w:p>
                        <w:pPr>
                          <w:spacing w:before="0" w:after="160" w:line="259" w:lineRule="auto"/>
                          <w:ind w:start="0" w:end="0" w:firstLine="0"/>
                          <w:jc w:val="left"/>
                        </w:pPr>
                        <w:r>
                          <w:rPr/>
                          <w:t xml:space="preserve">Linli Pan</w:t>
                        </w:r>
                      </w:p>
                    </w:txbxContent>
                  </v:textbox>
                </v:rect>
                <v:rect id="Rectangle 14036" style="position:absolute;width:570;height:1899;left:9885;top:22699;" filled="f" stroked="f">
                  <v:textbox inset="0,0,0,0">
                    <w:txbxContent>
                      <w:p>
                        <w:pPr>
                          <w:spacing w:before="0" w:after="160" w:line="259" w:lineRule="auto"/>
                          <w:ind w:start="0" w:end="0" w:firstLine="0"/>
                          <w:jc w:val="left"/>
                        </w:pPr>
                        <w:r>
                          <w:rPr/>
                          <w:t xml:space="preserve">-</w:t>
                        </w:r>
                      </w:p>
                    </w:txbxContent>
                  </v:textbox>
                </v:rect>
                <v:rect id="Rectangle 14037" style="position:absolute;width:7244;height:1899;left:10312;top:22699;" filled="f" stroked="f">
                  <v:textbox inset="0,0,0,0">
                    <w:txbxContent>
                      <w:p>
                        <w:pPr>
                          <w:spacing w:before="0" w:after="160" w:line="259" w:lineRule="auto"/>
                          <w:ind w:start="0" w:end="0" w:firstLine="0"/>
                          <w:jc w:val="left"/>
                        </w:pPr>
                        <w:r>
                          <w:rPr/>
                          <w:t xml:space="preserve">Van de M</w:t>
                        </w:r>
                      </w:p>
                    </w:txbxContent>
                  </v:textbox>
                </v:rect>
                <v:rect id="Rectangle 14038" style="position:absolute;width:8568;height:1899;left:15753;top:22699;" filled="f" stroked="f">
                  <v:textbox inset="0,0,0,0">
                    <w:txbxContent>
                      <w:p>
                        <w:pPr>
                          <w:spacing w:before="0" w:after="160" w:line="259" w:lineRule="auto"/>
                          <w:ind w:start="0" w:end="0" w:firstLine="0"/>
                          <w:jc w:val="left"/>
                        </w:pPr>
                        <w:r>
                          <w:rPr/>
                          <w:t xml:space="preserve">eulebroeke</w:t>
                        </w:r>
                      </w:p>
                    </w:txbxContent>
                  </v:textbox>
                </v:rect>
                <v:rect id="Rectangle 14039" style="position:absolute;width:421;height:1899;left:22188;top:22699;" filled="f" stroked="f">
                  <v:textbox inset="0,0,0,0">
                    <w:txbxContent>
                      <w:p>
                        <w:pPr>
                          <w:spacing w:before="0" w:after="160" w:line="259" w:lineRule="auto"/>
                          <w:ind w:start="0" w:end="0" w:firstLine="0"/>
                          <w:jc w:val="left"/>
                        </w:pPr>
                        <w:r>
                          <w:rPr/>
                          <w:t xml:space="preserve"> </w:t>
                        </w:r>
                      </w:p>
                    </w:txbxContent>
                  </v:textbox>
                </v:rect>
                <v:rect id="Rectangle 14040" style="position:absolute;width:421;height:1899;left:25342;top:22699;" filled="f" stroked="f">
                  <v:textbox inset="0,0,0,0">
                    <w:txbxContent>
                      <w:p>
                        <w:pPr>
                          <w:spacing w:before="0" w:after="160" w:line="259" w:lineRule="auto"/>
                          <w:ind w:start="0" w:end="0" w:firstLine="0"/>
                          <w:jc w:val="left"/>
                        </w:pPr>
                        <w:r>
                          <w:rPr/>
                          <w:t xml:space="preserve"> </w:t>
                        </w:r>
                      </w:p>
                    </w:txbxContent>
                  </v:textbox>
                </v:rect>
                <v:rect id="Rectangle 14041" style="position:absolute;width:13676;height:1899;left:29838;top:22699;" filled="f" stroked="f">
                  <v:textbox inset="0,0,0,0">
                    <w:txbxContent>
                      <w:p>
                        <w:pPr>
                          <w:spacing w:before="0" w:after="160" w:line="259" w:lineRule="auto"/>
                          <w:ind w:start="0" w:end="0" w:firstLine="0"/>
                          <w:jc w:val="left"/>
                        </w:pPr>
                        <w:r>
                          <w:rPr/>
                          <w:t xml:space="preserve">Camille de Bueger</w:t>
                        </w:r>
                      </w:p>
                    </w:txbxContent>
                  </v:textbox>
                </v:rect>
                <v:rect id="Rectangle 14042" style="position:absolute;width:421;height:1899;left:40112;top:22699;" filled="f" stroked="f">
                  <v:textbox inset="0,0,0,0">
                    <w:txbxContent>
                      <w:p>
                        <w:pPr>
                          <w:spacing w:before="0" w:after="160" w:line="259" w:lineRule="auto"/>
                          <w:ind w:start="0" w:end="0" w:firstLine="0"/>
                          <w:jc w:val="left"/>
                        </w:pPr>
                        <w:r>
                          <w:rPr/>
                          <w:t xml:space="preserve"> </w:t>
                        </w:r>
                      </w:p>
                    </w:txbxContent>
                  </v:textbox>
                </v:rect>
                <v:rect id="Rectangle 14043" style="position:absolute;width:421;height:1899;left:43328;top:22699;" filled="f" stroked="f">
                  <v:textbox inset="0,0,0,0">
                    <w:txbxContent>
                      <w:p>
                        <w:pPr>
                          <w:spacing w:before="0" w:after="160" w:line="259" w:lineRule="auto"/>
                          <w:ind w:start="0" w:end="0" w:firstLine="0"/>
                          <w:jc w:val="left"/>
                        </w:pPr>
                        <w:r>
                          <w:rPr/>
                          <w:t xml:space="preserve"> </w:t>
                        </w:r>
                      </w:p>
                    </w:txbxContent>
                  </v:textbox>
                </v:rect>
                <v:rect id="Rectangle 14044" style="position:absolute;width:11779;height:1899;left:47824;top:22699;" filled="f" stroked="f">
                  <v:textbox inset="0,0,0,0">
                    <w:txbxContent>
                      <w:p>
                        <w:pPr>
                          <w:spacing w:before="0" w:after="160" w:line="259" w:lineRule="auto"/>
                          <w:ind w:start="0" w:end="0" w:firstLine="0"/>
                          <w:jc w:val="left"/>
                        </w:pPr>
                        <w:r>
                          <w:rPr/>
                          <w:t xml:space="preserve">Gautier Rolland</w:t>
                        </w:r>
                      </w:p>
                    </w:txbxContent>
                  </v:textbox>
                </v:rect>
                <v:rect id="Rectangle 14045" style="position:absolute;width:421;height:1899;left:56667;top:22699;" filled="f" stroked="f">
                  <v:textbox inset="0,0,0,0">
                    <w:txbxContent>
                      <w:p>
                        <w:pPr>
                          <w:spacing w:before="0" w:after="160" w:line="259" w:lineRule="auto"/>
                          <w:ind w:start="0" w:end="0" w:firstLine="0"/>
                          <w:jc w:val="left"/>
                        </w:pPr>
                        <w:r>
                          <w:rPr/>
                          <w:t xml:space="preserve"> </w:t>
                        </w:r>
                      </w:p>
                    </w:txbxContent>
                  </v:textbox>
                </v:rect>
                <v:rect id="Rectangle 14046" style="position:absolute;width:421;height:1899;left:5146;top:24669;" filled="f" stroked="f">
                  <v:textbox inset="0,0,0,0">
                    <w:txbxContent>
                      <w:p>
                        <w:pPr>
                          <w:spacing w:before="0" w:after="160" w:line="259" w:lineRule="auto"/>
                          <w:ind w:start="0" w:end="0" w:firstLine="0"/>
                          <w:jc w:val="left"/>
                        </w:pPr>
                        <w:r>
                          <w:rPr/>
                          <w:t xml:space="preserve"> </w:t>
                        </w:r>
                      </w:p>
                    </w:txbxContent>
                  </v:textbox>
                </v:rect>
              </v:group>
            </w:pict>
          </mc:Fallback>
        </mc:AlternateContent>
      </w:r>
    </w:p>
    <w:p w14:paraId="6B4C33FB" w14:textId="77777777" w:rsidR="00E933CB" w:rsidRDefault="00825B93">
      <w:pPr>
        <w:spacing w:after="0" w:line="259" w:lineRule="auto"/>
        <w:ind w:left="464" w:right="0" w:firstLine="0"/>
        <w:jc w:val="left"/>
      </w:pPr>
      <w:r>
        <w:t xml:space="preserve"> </w:t>
      </w:r>
      <w:r>
        <w:tab/>
        <w:t xml:space="preserve"> </w:t>
      </w:r>
    </w:p>
    <w:sdt>
      <w:sdtPr>
        <w:rPr>
          <w:b w:val="0"/>
          <w:sz w:val="22"/>
          <w:u w:val="none"/>
        </w:rPr>
        <w:id w:val="-296764400"/>
        <w:docPartObj>
          <w:docPartGallery w:val="Table of Contents"/>
        </w:docPartObj>
      </w:sdtPr>
      <w:sdtEndPr/>
      <w:sdtContent>
        <w:p w14:paraId="6573261B" w14:textId="77777777" w:rsidR="004A3CD3" w:rsidRDefault="00825B93">
          <w:pPr>
            <w:pStyle w:val="TOC1"/>
            <w:tabs>
              <w:tab w:val="right" w:leader="dot" w:pos="10197"/>
            </w:tabs>
          </w:pPr>
          <w:r>
            <w:fldChar w:fldCharType="begin"/>
          </w:r>
          <w:r w:rsidR="006C0598">
            <w:instrText xml:space="preserve"> TOC \o "1-2" \h \z \u </w:instrText>
          </w:r>
          <w:r>
            <w:fldChar w:fldCharType="separate"/>
          </w:r>
          <w:hyperlink w:anchor="_Toc179567">
            <w:r w:rsidR="006C0598">
              <w:rPr>
                <w:u w:val="none"/>
              </w:rPr>
              <w:t xml:space="preserve">IX.  </w:t>
            </w:r>
            <w:r w:rsidR="006C0598">
              <w:t xml:space="preserve">List of diagrams  </w:t>
            </w:r>
            <w:r w:rsidR="006C0598">
              <w:tab/>
            </w:r>
            <w:r w:rsidR="006C0598">
              <w:fldChar w:fldCharType="begin"/>
            </w:r>
            <w:r w:rsidR="006C0598">
              <w:instrText>PAGEREF _Toc179567 \h</w:instrText>
            </w:r>
            <w:r w:rsidR="006C0598">
              <w:fldChar w:fldCharType="end"/>
            </w:r>
          </w:hyperlink>
        </w:p>
        <w:p w14:paraId="0D89D8D1" w14:textId="77777777" w:rsidR="004A3CD3" w:rsidRDefault="00B165DF">
          <w:pPr>
            <w:pStyle w:val="TOC2"/>
            <w:tabs>
              <w:tab w:val="right" w:leader="dot" w:pos="10197"/>
            </w:tabs>
          </w:pPr>
          <w:hyperlink w:anchor="_Toc179568">
            <w:r w:rsidR="006C0598">
              <w:t>Figure 1. CO concentrations</w:t>
            </w:r>
            <w:r w:rsidR="006C0598">
              <w:rPr>
                <w:vertAlign w:val="subscript"/>
              </w:rPr>
              <w:t xml:space="preserve">2 </w:t>
            </w:r>
            <w:r w:rsidR="006C0598">
              <w:t>in the atmosphere over the past 800,000 years</w:t>
            </w:r>
            <w:r w:rsidR="006C0598">
              <w:tab/>
            </w:r>
            <w:r w:rsidR="006C0598">
              <w:fldChar w:fldCharType="begin"/>
            </w:r>
            <w:r w:rsidR="006C0598">
              <w:instrText>PAGEREF _Toc179568 \h</w:instrText>
            </w:r>
            <w:r w:rsidR="006C0598">
              <w:fldChar w:fldCharType="separate"/>
            </w:r>
            <w:r w:rsidR="006C0598">
              <w:t xml:space="preserve">13 </w:t>
            </w:r>
            <w:r w:rsidR="006C0598">
              <w:fldChar w:fldCharType="end"/>
            </w:r>
          </w:hyperlink>
        </w:p>
        <w:p w14:paraId="7C4F78D4" w14:textId="77777777" w:rsidR="004A3CD3" w:rsidRDefault="00B165DF">
          <w:pPr>
            <w:pStyle w:val="TOC2"/>
            <w:tabs>
              <w:tab w:val="right" w:leader="dot" w:pos="10197"/>
            </w:tabs>
          </w:pPr>
          <w:hyperlink w:anchor="_Toc179569">
            <w:r w:rsidR="006C0598">
              <w:t>Figure 2. Global warming is due to human activity and has been increasing drastically since 1850, especially 1970</w:t>
            </w:r>
            <w:r w:rsidR="006C0598">
              <w:tab/>
            </w:r>
            <w:r w:rsidR="006C0598">
              <w:fldChar w:fldCharType="begin"/>
            </w:r>
            <w:r w:rsidR="006C0598">
              <w:instrText>PAGEREF _Toc179569 \h</w:instrText>
            </w:r>
            <w:r w:rsidR="006C0598">
              <w:fldChar w:fldCharType="separate"/>
            </w:r>
            <w:r w:rsidR="006C0598">
              <w:t xml:space="preserve">14 </w:t>
            </w:r>
            <w:r w:rsidR="006C0598">
              <w:fldChar w:fldCharType="end"/>
            </w:r>
          </w:hyperlink>
        </w:p>
        <w:p w14:paraId="0FDB51FB" w14:textId="77777777" w:rsidR="004A3CD3" w:rsidRDefault="00B165DF">
          <w:pPr>
            <w:pStyle w:val="TOC2"/>
            <w:tabs>
              <w:tab w:val="right" w:leader="dot" w:pos="10197"/>
            </w:tabs>
          </w:pPr>
          <w:hyperlink w:anchor="_Toc179570">
            <w:r w:rsidR="006C0598">
              <w:t xml:space="preserve">Figure 3. Total annual anthropogenic GHG emissions by gas group from 1970 to 2010 </w:t>
            </w:r>
            <w:r w:rsidR="006C0598">
              <w:tab/>
            </w:r>
            <w:r w:rsidR="006C0598">
              <w:fldChar w:fldCharType="begin"/>
            </w:r>
            <w:r w:rsidR="006C0598">
              <w:instrText>PAGEREF _Toc179570 \h</w:instrText>
            </w:r>
            <w:r w:rsidR="006C0598">
              <w:fldChar w:fldCharType="separate"/>
            </w:r>
            <w:r w:rsidR="006C0598">
              <w:t xml:space="preserve">15 </w:t>
            </w:r>
            <w:r w:rsidR="006C0598">
              <w:fldChar w:fldCharType="end"/>
            </w:r>
          </w:hyperlink>
        </w:p>
        <w:p w14:paraId="6BE4D27D" w14:textId="77777777" w:rsidR="004A3CD3" w:rsidRDefault="00B165DF">
          <w:pPr>
            <w:pStyle w:val="TOC2"/>
            <w:tabs>
              <w:tab w:val="right" w:leader="dot" w:pos="10197"/>
            </w:tabs>
          </w:pPr>
          <w:hyperlink w:anchor="_Toc179571">
            <w:r w:rsidR="006C0598">
              <w:t xml:space="preserve">Figure 4. 1750-2011: Cumulative CO </w:t>
            </w:r>
            <w:r w:rsidR="006C0598">
              <w:rPr>
                <w:vertAlign w:val="subscript"/>
              </w:rPr>
              <w:t>2</w:t>
            </w:r>
            <w:r w:rsidR="006C0598">
              <w:tab/>
            </w:r>
            <w:r w:rsidR="006C0598">
              <w:fldChar w:fldCharType="begin"/>
            </w:r>
            <w:r w:rsidR="006C0598">
              <w:instrText>PAGEREF _Toc179571 \h</w:instrText>
            </w:r>
            <w:r w:rsidR="006C0598">
              <w:fldChar w:fldCharType="separate"/>
            </w:r>
            <w:r w:rsidR="006C0598">
              <w:t xml:space="preserve">15 emissions </w:t>
            </w:r>
            <w:r w:rsidR="006C0598">
              <w:fldChar w:fldCharType="end"/>
            </w:r>
          </w:hyperlink>
        </w:p>
        <w:p w14:paraId="446BEA1D" w14:textId="77777777" w:rsidR="004A3CD3" w:rsidRDefault="00B165DF">
          <w:pPr>
            <w:pStyle w:val="TOC2"/>
            <w:tabs>
              <w:tab w:val="right" w:leader="dot" w:pos="10197"/>
            </w:tabs>
          </w:pPr>
          <w:hyperlink w:anchor="_Toc179572">
            <w:r w:rsidR="006C0598">
              <w:t>Figure 5: Relationship between global warming and cumulative CO</w:t>
            </w:r>
            <w:r w:rsidR="006C0598">
              <w:rPr>
                <w:vertAlign w:val="subscript"/>
              </w:rPr>
              <w:t>2</w:t>
            </w:r>
            <w:r w:rsidR="006C0598">
              <w:t xml:space="preserve">and GHG emissions </w:t>
            </w:r>
            <w:r w:rsidR="006C0598">
              <w:tab/>
            </w:r>
            <w:r w:rsidR="006C0598">
              <w:fldChar w:fldCharType="begin"/>
            </w:r>
            <w:r w:rsidR="006C0598">
              <w:instrText>PAGEREF _Toc179572 \h</w:instrText>
            </w:r>
            <w:r w:rsidR="006C0598">
              <w:fldChar w:fldCharType="separate"/>
            </w:r>
            <w:r w:rsidR="006C0598">
              <w:t xml:space="preserve">17 </w:t>
            </w:r>
            <w:r w:rsidR="006C0598">
              <w:fldChar w:fldCharType="end"/>
            </w:r>
          </w:hyperlink>
        </w:p>
        <w:p w14:paraId="7B01392B" w14:textId="77777777" w:rsidR="004A3CD3" w:rsidRDefault="00B165DF">
          <w:pPr>
            <w:pStyle w:val="TOC2"/>
            <w:tabs>
              <w:tab w:val="right" w:leader="dot" w:pos="10197"/>
            </w:tabs>
          </w:pPr>
          <w:hyperlink w:anchor="_Toc179573">
            <w:r w:rsidR="006C0598">
              <w:t xml:space="preserve">Figure 6. Relationship between global warming and cumulative CO </w:t>
            </w:r>
            <w:r w:rsidR="006C0598">
              <w:rPr>
                <w:vertAlign w:val="subscript"/>
              </w:rPr>
              <w:t>2</w:t>
            </w:r>
            <w:r w:rsidR="006C0598">
              <w:tab/>
            </w:r>
            <w:r w:rsidR="006C0598">
              <w:fldChar w:fldCharType="begin"/>
            </w:r>
            <w:r w:rsidR="006C0598">
              <w:instrText>PAGEREF _Toc179573 \h</w:instrText>
            </w:r>
            <w:r w:rsidR="006C0598">
              <w:fldChar w:fldCharType="separate"/>
            </w:r>
            <w:r w:rsidR="006C0598">
              <w:t xml:space="preserve">18 emissions </w:t>
            </w:r>
            <w:r w:rsidR="006C0598">
              <w:fldChar w:fldCharType="end"/>
            </w:r>
          </w:hyperlink>
        </w:p>
        <w:p w14:paraId="78FB1044" w14:textId="77777777" w:rsidR="004A3CD3" w:rsidRDefault="00B165DF">
          <w:pPr>
            <w:pStyle w:val="TOC2"/>
            <w:tabs>
              <w:tab w:val="right" w:leader="dot" w:pos="10197"/>
            </w:tabs>
          </w:pPr>
          <w:hyperlink w:anchor="_Toc179574">
            <w:r w:rsidR="006C0598">
              <w:t>Figure 7 - Illustrative diagram of the 'bathtub</w:t>
            </w:r>
            <w:r w:rsidR="006C0598">
              <w:tab/>
            </w:r>
            <w:r w:rsidR="006C0598">
              <w:fldChar w:fldCharType="begin"/>
            </w:r>
            <w:r w:rsidR="006C0598">
              <w:instrText>PAGEREF _Toc179574 \h</w:instrText>
            </w:r>
            <w:r w:rsidR="006C0598">
              <w:fldChar w:fldCharType="separate"/>
            </w:r>
            <w:r w:rsidR="006C0598">
              <w:t xml:space="preserve">19 </w:t>
            </w:r>
            <w:r w:rsidR="006C0598">
              <w:fldChar w:fldCharType="end"/>
            </w:r>
          </w:hyperlink>
        </w:p>
        <w:p w14:paraId="52AC0566" w14:textId="77777777" w:rsidR="004A3CD3" w:rsidRDefault="00B165DF">
          <w:pPr>
            <w:pStyle w:val="TOC2"/>
            <w:tabs>
              <w:tab w:val="right" w:leader="dot" w:pos="10197"/>
            </w:tabs>
          </w:pPr>
          <w:hyperlink w:anchor="_Toc179575">
            <w:r w:rsidR="006C0598">
              <w:t>Figure 8. Warming of 1.5°C to 2°C and more: low to very high risk of consequences</w:t>
            </w:r>
            <w:r w:rsidR="006C0598">
              <w:tab/>
            </w:r>
            <w:r w:rsidR="006C0598">
              <w:fldChar w:fldCharType="begin"/>
            </w:r>
            <w:r w:rsidR="006C0598">
              <w:instrText>PAGEREF _Toc179575 \h</w:instrText>
            </w:r>
            <w:r w:rsidR="006C0598">
              <w:fldChar w:fldCharType="separate"/>
            </w:r>
            <w:r w:rsidR="006C0598">
              <w:t xml:space="preserve">22 </w:t>
            </w:r>
            <w:r w:rsidR="006C0598">
              <w:fldChar w:fldCharType="end"/>
            </w:r>
          </w:hyperlink>
        </w:p>
        <w:p w14:paraId="2C580E45" w14:textId="77777777" w:rsidR="004A3CD3" w:rsidRDefault="00B165DF">
          <w:pPr>
            <w:pStyle w:val="TOC2"/>
            <w:tabs>
              <w:tab w:val="right" w:leader="dot" w:pos="10197"/>
            </w:tabs>
          </w:pPr>
          <w:hyperlink w:anchor="_Toc179576">
            <w:r w:rsidR="006C0598">
              <w:t>Figure 9: IPCC 2007 Assessment Report: The 2°C Limit</w:t>
            </w:r>
            <w:r w:rsidR="006C0598">
              <w:tab/>
            </w:r>
            <w:r w:rsidR="006C0598">
              <w:fldChar w:fldCharType="begin"/>
            </w:r>
            <w:r w:rsidR="006C0598">
              <w:instrText>PAGEREF _Toc179576 \h</w:instrText>
            </w:r>
            <w:r w:rsidR="006C0598">
              <w:fldChar w:fldCharType="separate"/>
            </w:r>
            <w:r w:rsidR="006C0598">
              <w:t xml:space="preserve">23 </w:t>
            </w:r>
            <w:r w:rsidR="006C0598">
              <w:fldChar w:fldCharType="end"/>
            </w:r>
          </w:hyperlink>
        </w:p>
        <w:p w14:paraId="49283C57" w14:textId="77777777" w:rsidR="004A3CD3" w:rsidRDefault="00B165DF">
          <w:pPr>
            <w:pStyle w:val="TOC2"/>
            <w:tabs>
              <w:tab w:val="right" w:leader="dot" w:pos="10197"/>
            </w:tabs>
          </w:pPr>
          <w:hyperlink w:anchor="_Toc179577">
            <w:r w:rsidR="006C0598">
              <w:t>Figure 10 - IPCC - 2007 Assessment Report (AR4): the necessary percentages of global GHG emission reductions to stay below the 2°C threshold</w:t>
            </w:r>
            <w:r w:rsidR="006C0598">
              <w:tab/>
            </w:r>
            <w:r w:rsidR="006C0598">
              <w:fldChar w:fldCharType="begin"/>
            </w:r>
            <w:r w:rsidR="006C0598">
              <w:instrText>PAGEREF _Toc179577 \h</w:instrText>
            </w:r>
            <w:r w:rsidR="006C0598">
              <w:fldChar w:fldCharType="separate"/>
            </w:r>
            <w:r w:rsidR="006C0598">
              <w:t xml:space="preserve">26 </w:t>
            </w:r>
            <w:r w:rsidR="006C0598">
              <w:fldChar w:fldCharType="end"/>
            </w:r>
          </w:hyperlink>
        </w:p>
        <w:p w14:paraId="279FB631" w14:textId="77777777" w:rsidR="004A3CD3" w:rsidRDefault="00B165DF">
          <w:pPr>
            <w:pStyle w:val="TOC2"/>
            <w:tabs>
              <w:tab w:val="right" w:leader="dot" w:pos="10197"/>
            </w:tabs>
          </w:pPr>
          <w:hyperlink w:anchor="_Toc179578">
            <w:r w:rsidR="006C0598">
              <w:t>Diagram 11. Scheme used in the judgment of 26 June 2015 in the Urgenda case</w:t>
            </w:r>
            <w:r w:rsidR="006C0598">
              <w:tab/>
            </w:r>
            <w:r w:rsidR="006C0598">
              <w:fldChar w:fldCharType="begin"/>
            </w:r>
            <w:r w:rsidR="006C0598">
              <w:instrText>PAGEREF _Toc179578 \h</w:instrText>
            </w:r>
            <w:r w:rsidR="006C0598">
              <w:fldChar w:fldCharType="separate"/>
            </w:r>
            <w:r w:rsidR="006C0598">
              <w:t xml:space="preserve">35 </w:t>
            </w:r>
            <w:r w:rsidR="006C0598">
              <w:fldChar w:fldCharType="end"/>
            </w:r>
          </w:hyperlink>
        </w:p>
        <w:p w14:paraId="351D2E73" w14:textId="77777777" w:rsidR="004A3CD3" w:rsidRDefault="00B165DF">
          <w:pPr>
            <w:pStyle w:val="TOC2"/>
            <w:tabs>
              <w:tab w:val="right" w:leader="dot" w:pos="10197"/>
            </w:tabs>
          </w:pPr>
          <w:hyperlink w:anchor="_Toc179579">
            <w:r w:rsidR="006C0598">
              <w:t>Figure 12. Overall residual carbon budgets as of 1</w:t>
            </w:r>
            <w:r w:rsidR="006C0598">
              <w:rPr>
                <w:vertAlign w:val="superscript"/>
              </w:rPr>
              <w:t>er</w:t>
            </w:r>
            <w:r w:rsidR="006C0598">
              <w:t>January 2018</w:t>
            </w:r>
            <w:r w:rsidR="006C0598">
              <w:tab/>
            </w:r>
            <w:r w:rsidR="006C0598">
              <w:fldChar w:fldCharType="begin"/>
            </w:r>
            <w:r w:rsidR="006C0598">
              <w:instrText>PAGEREF _Toc179579 \h</w:instrText>
            </w:r>
            <w:r w:rsidR="006C0598">
              <w:fldChar w:fldCharType="separate"/>
            </w:r>
            <w:r w:rsidR="006C0598">
              <w:t xml:space="preserve">46 </w:t>
            </w:r>
            <w:r w:rsidR="006C0598">
              <w:fldChar w:fldCharType="end"/>
            </w:r>
          </w:hyperlink>
        </w:p>
        <w:p w14:paraId="3B8BB18B" w14:textId="77777777" w:rsidR="004A3CD3" w:rsidRDefault="00B165DF">
          <w:pPr>
            <w:pStyle w:val="TOC2"/>
            <w:tabs>
              <w:tab w:val="right" w:leader="dot" w:pos="10197"/>
            </w:tabs>
          </w:pPr>
          <w:hyperlink w:anchor="_Toc179580">
            <w:r w:rsidR="006C0598">
              <w:t>Figure 13. Overall residual carbon budgets at the beginning of 2020</w:t>
            </w:r>
            <w:r w:rsidR="006C0598">
              <w:tab/>
            </w:r>
            <w:r w:rsidR="006C0598">
              <w:fldChar w:fldCharType="begin"/>
            </w:r>
            <w:r w:rsidR="006C0598">
              <w:instrText>PAGEREF _Toc179580 \h</w:instrText>
            </w:r>
            <w:r w:rsidR="006C0598">
              <w:fldChar w:fldCharType="separate"/>
            </w:r>
            <w:r w:rsidR="006C0598">
              <w:t xml:space="preserve">47 </w:t>
            </w:r>
            <w:r w:rsidR="006C0598">
              <w:fldChar w:fldCharType="end"/>
            </w:r>
          </w:hyperlink>
        </w:p>
        <w:p w14:paraId="7926EB13" w14:textId="77777777" w:rsidR="004A3CD3" w:rsidRDefault="00B165DF">
          <w:pPr>
            <w:pStyle w:val="TOC2"/>
            <w:tabs>
              <w:tab w:val="right" w:leader="dot" w:pos="10197"/>
            </w:tabs>
          </w:pPr>
          <w:hyperlink w:anchor="_Toc179581">
            <w:r w:rsidR="006C0598">
              <w:t>Figure 14. Belgian emission reductions</w:t>
            </w:r>
            <w:r w:rsidR="006C0598">
              <w:tab/>
            </w:r>
            <w:r w:rsidR="006C0598">
              <w:fldChar w:fldCharType="begin"/>
            </w:r>
            <w:r w:rsidR="006C0598">
              <w:instrText>PAGEREF _Toc179581 \h</w:instrText>
            </w:r>
            <w:r w:rsidR="006C0598">
              <w:fldChar w:fldCharType="separate"/>
            </w:r>
            <w:r w:rsidR="006C0598">
              <w:t xml:space="preserve">49 </w:t>
            </w:r>
            <w:r w:rsidR="006C0598">
              <w:fldChar w:fldCharType="end"/>
            </w:r>
          </w:hyperlink>
        </w:p>
        <w:p w14:paraId="65151FFA" w14:textId="77777777" w:rsidR="004A3CD3" w:rsidRDefault="00B165DF">
          <w:pPr>
            <w:pStyle w:val="TOC2"/>
            <w:tabs>
              <w:tab w:val="right" w:leader="dot" w:pos="10197"/>
            </w:tabs>
          </w:pPr>
          <w:hyperlink w:anchor="_Toc179582">
            <w:r w:rsidR="006C0598">
              <w:t>Figure 15. Belgium's residual carbon budget: linear reduction path</w:t>
            </w:r>
            <w:r w:rsidR="006C0598">
              <w:tab/>
            </w:r>
            <w:r w:rsidR="006C0598">
              <w:fldChar w:fldCharType="begin"/>
            </w:r>
            <w:r w:rsidR="006C0598">
              <w:instrText>PAGEREF _Toc179582 \h</w:instrText>
            </w:r>
            <w:r w:rsidR="006C0598">
              <w:fldChar w:fldCharType="separate"/>
            </w:r>
            <w:r w:rsidR="006C0598">
              <w:t xml:space="preserve">49 </w:t>
            </w:r>
            <w:r w:rsidR="006C0598">
              <w:fldChar w:fldCharType="end"/>
            </w:r>
          </w:hyperlink>
        </w:p>
        <w:p w14:paraId="76789F32" w14:textId="77777777" w:rsidR="004A3CD3" w:rsidRDefault="00B165DF">
          <w:pPr>
            <w:pStyle w:val="TOC2"/>
            <w:tabs>
              <w:tab w:val="right" w:leader="dot" w:pos="10197"/>
            </w:tabs>
          </w:pPr>
          <w:hyperlink w:anchor="_Toc179583">
            <w:r w:rsidR="006C0598">
              <w:t>Figure 16. Table of reductions by 2030 with a 65% cap in 2030</w:t>
            </w:r>
            <w:r w:rsidR="006C0598">
              <w:tab/>
            </w:r>
            <w:r w:rsidR="006C0598">
              <w:fldChar w:fldCharType="begin"/>
            </w:r>
            <w:r w:rsidR="006C0598">
              <w:instrText>PAGEREF _Toc179583 \h</w:instrText>
            </w:r>
            <w:r w:rsidR="006C0598">
              <w:fldChar w:fldCharType="separate"/>
            </w:r>
            <w:r w:rsidR="006C0598">
              <w:t xml:space="preserve">51 </w:t>
            </w:r>
            <w:r w:rsidR="006C0598">
              <w:fldChar w:fldCharType="end"/>
            </w:r>
          </w:hyperlink>
        </w:p>
        <w:p w14:paraId="0C803827" w14:textId="77777777" w:rsidR="004A3CD3" w:rsidRDefault="00B165DF">
          <w:pPr>
            <w:pStyle w:val="TOC2"/>
            <w:tabs>
              <w:tab w:val="right" w:leader="dot" w:pos="10197"/>
            </w:tabs>
          </w:pPr>
          <w:hyperlink w:anchor="_Toc179584">
            <w:r w:rsidR="006C0598">
              <w:t xml:space="preserve">Figure 17. Assuming a linear reduction trajectory of 55% in 2030 and net zero in 2050 </w:t>
            </w:r>
            <w:r w:rsidR="006C0598">
              <w:tab/>
            </w:r>
            <w:r w:rsidR="006C0598">
              <w:fldChar w:fldCharType="begin"/>
            </w:r>
            <w:r w:rsidR="006C0598">
              <w:instrText>PAGEREF _Toc179584 \h</w:instrText>
            </w:r>
            <w:r w:rsidR="006C0598">
              <w:fldChar w:fldCharType="separate"/>
            </w:r>
            <w:r w:rsidR="006C0598">
              <w:t xml:space="preserve">52 </w:t>
            </w:r>
            <w:r w:rsidR="006C0598">
              <w:fldChar w:fldCharType="end"/>
            </w:r>
          </w:hyperlink>
        </w:p>
        <w:p w14:paraId="2DF6F4BB" w14:textId="77777777" w:rsidR="00E933CB" w:rsidRDefault="00825B93">
          <w:r>
            <w:fldChar w:fldCharType="end"/>
          </w:r>
        </w:p>
      </w:sdtContent>
    </w:sdt>
    <w:p w14:paraId="76176520" w14:textId="77777777" w:rsidR="00E933CB" w:rsidRDefault="00825B93">
      <w:pPr>
        <w:spacing w:after="180" w:line="383" w:lineRule="auto"/>
        <w:ind w:left="1030" w:right="794" w:hanging="566"/>
      </w:pPr>
      <w:r>
        <w:t xml:space="preserve"> </w:t>
      </w:r>
    </w:p>
    <w:p w14:paraId="7A8F697E" w14:textId="77777777" w:rsidR="004A3CD3" w:rsidRDefault="006C0598">
      <w:pPr>
        <w:tabs>
          <w:tab w:val="center" w:pos="349"/>
          <w:tab w:val="center" w:pos="2257"/>
        </w:tabs>
        <w:spacing w:after="45" w:line="249" w:lineRule="auto"/>
        <w:ind w:left="0" w:right="0" w:firstLine="0"/>
        <w:jc w:val="left"/>
      </w:pPr>
      <w:r>
        <w:tab/>
      </w:r>
      <w:r>
        <w:rPr>
          <w:b/>
          <w:sz w:val="28"/>
        </w:rPr>
        <w:t xml:space="preserve">X. </w:t>
      </w:r>
      <w:r>
        <w:rPr>
          <w:rFonts w:ascii="Arial" w:eastAsia="Arial" w:hAnsi="Arial" w:cs="Arial"/>
          <w:b/>
          <w:sz w:val="28"/>
        </w:rPr>
        <w:tab/>
      </w:r>
      <w:r>
        <w:rPr>
          <w:b/>
          <w:sz w:val="28"/>
          <w:u w:val="single" w:color="000000"/>
        </w:rPr>
        <w:t xml:space="preserve">Inventory of parts </w:t>
      </w:r>
    </w:p>
    <w:p w14:paraId="6ACF0420" w14:textId="77777777" w:rsidR="00E933CB" w:rsidRDefault="00825B93">
      <w:pPr>
        <w:spacing w:after="0" w:line="259" w:lineRule="auto"/>
        <w:ind w:left="1030" w:right="0" w:firstLine="0"/>
        <w:jc w:val="left"/>
      </w:pPr>
      <w:r>
        <w:t xml:space="preserve"> </w:t>
      </w:r>
    </w:p>
    <w:tbl>
      <w:tblPr>
        <w:tblStyle w:val="TableGrid"/>
        <w:tblW w:w="9496" w:type="dxa"/>
        <w:tblInd w:w="468" w:type="dxa"/>
        <w:tblCellMar>
          <w:top w:w="48" w:type="dxa"/>
          <w:left w:w="108" w:type="dxa"/>
        </w:tblCellMar>
        <w:tblLook w:val="04A0" w:firstRow="1" w:lastRow="0" w:firstColumn="1" w:lastColumn="0" w:noHBand="0" w:noVBand="1"/>
      </w:tblPr>
      <w:tblGrid>
        <w:gridCol w:w="989"/>
        <w:gridCol w:w="991"/>
        <w:gridCol w:w="7516"/>
      </w:tblGrid>
      <w:tr w:rsidR="00E933CB" w14:paraId="611A58DF" w14:textId="77777777">
        <w:trPr>
          <w:trHeight w:val="571"/>
        </w:trPr>
        <w:tc>
          <w:tcPr>
            <w:tcW w:w="989" w:type="dxa"/>
            <w:tcBorders>
              <w:top w:val="single" w:sz="4" w:space="0" w:color="000000"/>
              <w:left w:val="single" w:sz="4" w:space="0" w:color="000000"/>
              <w:bottom w:val="single" w:sz="4" w:space="0" w:color="000000"/>
              <w:right w:val="nil"/>
            </w:tcBorders>
          </w:tcPr>
          <w:p w14:paraId="22DE3B7C" w14:textId="77777777" w:rsidR="00E933CB" w:rsidRDefault="00E933CB">
            <w:pPr>
              <w:spacing w:after="160" w:line="259" w:lineRule="auto"/>
              <w:ind w:left="0" w:right="0" w:firstLine="0"/>
              <w:jc w:val="left"/>
            </w:pPr>
          </w:p>
        </w:tc>
        <w:tc>
          <w:tcPr>
            <w:tcW w:w="991" w:type="dxa"/>
            <w:tcBorders>
              <w:top w:val="single" w:sz="4" w:space="0" w:color="000000"/>
              <w:left w:val="nil"/>
              <w:bottom w:val="single" w:sz="4" w:space="0" w:color="000000"/>
              <w:right w:val="nil"/>
            </w:tcBorders>
          </w:tcPr>
          <w:p w14:paraId="429CC143" w14:textId="77777777" w:rsidR="00E933CB" w:rsidRDefault="00E933CB">
            <w:pPr>
              <w:spacing w:after="160" w:line="259" w:lineRule="auto"/>
              <w:ind w:left="0" w:right="0" w:firstLine="0"/>
              <w:jc w:val="left"/>
            </w:pPr>
          </w:p>
        </w:tc>
        <w:tc>
          <w:tcPr>
            <w:tcW w:w="7516" w:type="dxa"/>
            <w:tcBorders>
              <w:top w:val="single" w:sz="4" w:space="0" w:color="000000"/>
              <w:left w:val="nil"/>
              <w:bottom w:val="single" w:sz="4" w:space="0" w:color="000000"/>
              <w:right w:val="single" w:sz="4" w:space="0" w:color="000000"/>
            </w:tcBorders>
          </w:tcPr>
          <w:p w14:paraId="12AF108B" w14:textId="77777777" w:rsidR="004A3CD3" w:rsidRDefault="006C0598">
            <w:pPr>
              <w:spacing w:after="0" w:line="259" w:lineRule="auto"/>
              <w:ind w:left="1052" w:right="0" w:firstLine="0"/>
              <w:jc w:val="left"/>
            </w:pPr>
            <w:r>
              <w:rPr>
                <w:b/>
                <w:sz w:val="40"/>
              </w:rPr>
              <w:t xml:space="preserve">A. </w:t>
            </w:r>
            <w:r>
              <w:rPr>
                <w:b/>
                <w:sz w:val="40"/>
                <w:u w:val="single" w:color="000000"/>
              </w:rPr>
              <w:t xml:space="preserve">Correspondence </w:t>
            </w:r>
          </w:p>
        </w:tc>
      </w:tr>
      <w:tr w:rsidR="00E933CB" w14:paraId="2365686A" w14:textId="77777777">
        <w:trPr>
          <w:trHeight w:val="319"/>
        </w:trPr>
        <w:tc>
          <w:tcPr>
            <w:tcW w:w="989" w:type="dxa"/>
            <w:tcBorders>
              <w:top w:val="single" w:sz="4" w:space="0" w:color="000000"/>
              <w:left w:val="single" w:sz="4" w:space="0" w:color="000000"/>
              <w:bottom w:val="single" w:sz="4" w:space="0" w:color="000000"/>
              <w:right w:val="single" w:sz="4" w:space="0" w:color="000000"/>
            </w:tcBorders>
          </w:tcPr>
          <w:p w14:paraId="4AD03B94" w14:textId="77777777" w:rsidR="00E933CB" w:rsidRDefault="00825B93">
            <w:pPr>
              <w:spacing w:after="0" w:line="259"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18A6B11" w14:textId="77777777" w:rsidR="004A3CD3" w:rsidRDefault="006C0598">
            <w:pPr>
              <w:spacing w:after="0" w:line="259" w:lineRule="auto"/>
              <w:ind w:left="0" w:right="0" w:firstLine="0"/>
              <w:jc w:val="left"/>
            </w:pPr>
            <w:r>
              <w:rPr>
                <w:b/>
              </w:rPr>
              <w:t xml:space="preserve">Date </w:t>
            </w:r>
          </w:p>
        </w:tc>
        <w:tc>
          <w:tcPr>
            <w:tcW w:w="7516" w:type="dxa"/>
            <w:tcBorders>
              <w:top w:val="single" w:sz="4" w:space="0" w:color="000000"/>
              <w:left w:val="single" w:sz="4" w:space="0" w:color="000000"/>
              <w:bottom w:val="single" w:sz="4" w:space="0" w:color="000000"/>
              <w:right w:val="single" w:sz="4" w:space="0" w:color="000000"/>
            </w:tcBorders>
          </w:tcPr>
          <w:p w14:paraId="263A3DE6" w14:textId="77777777" w:rsidR="004A3CD3" w:rsidRDefault="006C0598">
            <w:pPr>
              <w:spacing w:after="0" w:line="259" w:lineRule="auto"/>
              <w:ind w:left="0" w:right="0" w:firstLine="0"/>
              <w:jc w:val="left"/>
            </w:pPr>
            <w:r>
              <w:rPr>
                <w:b/>
              </w:rPr>
              <w:t xml:space="preserve">Description </w:t>
            </w:r>
          </w:p>
        </w:tc>
      </w:tr>
      <w:tr w:rsidR="00E933CB" w14:paraId="1AC1F599" w14:textId="77777777">
        <w:trPr>
          <w:trHeight w:val="319"/>
        </w:trPr>
        <w:tc>
          <w:tcPr>
            <w:tcW w:w="989" w:type="dxa"/>
            <w:tcBorders>
              <w:top w:val="single" w:sz="4" w:space="0" w:color="000000"/>
              <w:left w:val="single" w:sz="4" w:space="0" w:color="000000"/>
              <w:bottom w:val="single" w:sz="4" w:space="0" w:color="000000"/>
              <w:right w:val="single" w:sz="4" w:space="0" w:color="000000"/>
            </w:tcBorders>
          </w:tcPr>
          <w:p w14:paraId="04636568" w14:textId="77777777" w:rsidR="004A3CD3" w:rsidRDefault="006C0598">
            <w:pPr>
              <w:spacing w:after="0" w:line="259" w:lineRule="auto"/>
              <w:ind w:left="0" w:right="141" w:firstLine="0"/>
              <w:jc w:val="right"/>
            </w:pPr>
            <w:r>
              <w:rPr>
                <w:rFonts w:ascii="Century Gothic" w:eastAsia="Century Gothic" w:hAnsi="Century Gothic" w:cs="Century Gothic"/>
                <w:b/>
                <w:sz w:val="20"/>
              </w:rPr>
              <w:t xml:space="preserve">A.1 </w:t>
            </w:r>
          </w:p>
        </w:tc>
        <w:tc>
          <w:tcPr>
            <w:tcW w:w="991" w:type="dxa"/>
            <w:tcBorders>
              <w:top w:val="single" w:sz="4" w:space="0" w:color="000000"/>
              <w:left w:val="single" w:sz="4" w:space="0" w:color="000000"/>
              <w:bottom w:val="single" w:sz="4" w:space="0" w:color="000000"/>
              <w:right w:val="single" w:sz="4" w:space="0" w:color="000000"/>
            </w:tcBorders>
          </w:tcPr>
          <w:p w14:paraId="7435F16A" w14:textId="77777777" w:rsidR="004A3CD3" w:rsidRDefault="006C0598">
            <w:pPr>
              <w:spacing w:after="0" w:line="259" w:lineRule="auto"/>
              <w:ind w:left="0" w:right="140" w:firstLine="0"/>
              <w:jc w:val="right"/>
            </w:pPr>
            <w:r>
              <w:t xml:space="preserve">2014 </w:t>
            </w:r>
          </w:p>
        </w:tc>
        <w:tc>
          <w:tcPr>
            <w:tcW w:w="7516" w:type="dxa"/>
            <w:tcBorders>
              <w:top w:val="single" w:sz="4" w:space="0" w:color="000000"/>
              <w:left w:val="single" w:sz="4" w:space="0" w:color="000000"/>
              <w:bottom w:val="single" w:sz="4" w:space="0" w:color="000000"/>
              <w:right w:val="single" w:sz="4" w:space="0" w:color="000000"/>
            </w:tcBorders>
          </w:tcPr>
          <w:p w14:paraId="547B56E8" w14:textId="77777777" w:rsidR="004A3CD3" w:rsidRDefault="006C0598">
            <w:pPr>
              <w:spacing w:after="0" w:line="259" w:lineRule="auto"/>
              <w:ind w:left="0" w:right="0" w:firstLine="0"/>
              <w:jc w:val="left"/>
            </w:pPr>
            <w:r>
              <w:t>Official notice of 1</w:t>
            </w:r>
            <w:r>
              <w:rPr>
                <w:vertAlign w:val="superscript"/>
              </w:rPr>
              <w:t>er</w:t>
            </w:r>
            <w:r>
              <w:t xml:space="preserve"> December 2014 from the Belgian State </w:t>
            </w:r>
          </w:p>
        </w:tc>
      </w:tr>
      <w:tr w:rsidR="00E933CB" w14:paraId="41278677" w14:textId="77777777">
        <w:trPr>
          <w:trHeight w:val="319"/>
        </w:trPr>
        <w:tc>
          <w:tcPr>
            <w:tcW w:w="989" w:type="dxa"/>
            <w:tcBorders>
              <w:top w:val="single" w:sz="4" w:space="0" w:color="000000"/>
              <w:left w:val="single" w:sz="4" w:space="0" w:color="000000"/>
              <w:bottom w:val="single" w:sz="4" w:space="0" w:color="000000"/>
              <w:right w:val="single" w:sz="4" w:space="0" w:color="000000"/>
            </w:tcBorders>
          </w:tcPr>
          <w:p w14:paraId="1DF7B6F7" w14:textId="77777777" w:rsidR="004A3CD3" w:rsidRDefault="006C0598">
            <w:pPr>
              <w:spacing w:after="0" w:line="259" w:lineRule="auto"/>
              <w:ind w:left="0" w:right="141" w:firstLine="0"/>
              <w:jc w:val="right"/>
            </w:pPr>
            <w:r>
              <w:rPr>
                <w:rFonts w:ascii="Century Gothic" w:eastAsia="Century Gothic" w:hAnsi="Century Gothic" w:cs="Century Gothic"/>
                <w:b/>
                <w:sz w:val="20"/>
              </w:rPr>
              <w:t xml:space="preserve">A.2 </w:t>
            </w:r>
          </w:p>
        </w:tc>
        <w:tc>
          <w:tcPr>
            <w:tcW w:w="991" w:type="dxa"/>
            <w:tcBorders>
              <w:top w:val="single" w:sz="4" w:space="0" w:color="000000"/>
              <w:left w:val="single" w:sz="4" w:space="0" w:color="000000"/>
              <w:bottom w:val="single" w:sz="4" w:space="0" w:color="000000"/>
              <w:right w:val="single" w:sz="4" w:space="0" w:color="000000"/>
            </w:tcBorders>
          </w:tcPr>
          <w:p w14:paraId="4332E70A" w14:textId="77777777" w:rsidR="004A3CD3" w:rsidRDefault="006C0598">
            <w:pPr>
              <w:spacing w:after="0" w:line="259" w:lineRule="auto"/>
              <w:ind w:left="0" w:right="140" w:firstLine="0"/>
              <w:jc w:val="right"/>
            </w:pPr>
            <w:r>
              <w:t xml:space="preserve">2014 </w:t>
            </w:r>
          </w:p>
        </w:tc>
        <w:tc>
          <w:tcPr>
            <w:tcW w:w="7516" w:type="dxa"/>
            <w:tcBorders>
              <w:top w:val="single" w:sz="4" w:space="0" w:color="000000"/>
              <w:left w:val="single" w:sz="4" w:space="0" w:color="000000"/>
              <w:bottom w:val="single" w:sz="4" w:space="0" w:color="000000"/>
              <w:right w:val="single" w:sz="4" w:space="0" w:color="000000"/>
            </w:tcBorders>
          </w:tcPr>
          <w:p w14:paraId="12D64526" w14:textId="77777777" w:rsidR="004A3CD3" w:rsidRDefault="006C0598">
            <w:pPr>
              <w:spacing w:after="0" w:line="259" w:lineRule="auto"/>
              <w:ind w:left="0" w:right="0" w:firstLine="0"/>
              <w:jc w:val="left"/>
            </w:pPr>
            <w:r>
              <w:t>Official notice of 1</w:t>
            </w:r>
            <w:r>
              <w:rPr>
                <w:vertAlign w:val="superscript"/>
              </w:rPr>
              <w:t>er</w:t>
            </w:r>
            <w:r>
              <w:t xml:space="preserve"> December 2014 from the Flemish Region </w:t>
            </w:r>
          </w:p>
        </w:tc>
      </w:tr>
      <w:tr w:rsidR="00E933CB" w14:paraId="6CF9C973" w14:textId="77777777">
        <w:trPr>
          <w:trHeight w:val="626"/>
        </w:trPr>
        <w:tc>
          <w:tcPr>
            <w:tcW w:w="989" w:type="dxa"/>
            <w:tcBorders>
              <w:top w:val="single" w:sz="4" w:space="0" w:color="000000"/>
              <w:left w:val="single" w:sz="4" w:space="0" w:color="000000"/>
              <w:bottom w:val="single" w:sz="4" w:space="0" w:color="000000"/>
              <w:right w:val="single" w:sz="4" w:space="0" w:color="000000"/>
            </w:tcBorders>
          </w:tcPr>
          <w:p w14:paraId="245E5DE5" w14:textId="77777777" w:rsidR="004A3CD3" w:rsidRDefault="006C0598">
            <w:pPr>
              <w:spacing w:after="0" w:line="259" w:lineRule="auto"/>
              <w:ind w:left="0" w:right="141" w:firstLine="0"/>
              <w:jc w:val="right"/>
            </w:pPr>
            <w:r>
              <w:rPr>
                <w:rFonts w:ascii="Century Gothic" w:eastAsia="Century Gothic" w:hAnsi="Century Gothic" w:cs="Century Gothic"/>
                <w:b/>
                <w:sz w:val="20"/>
              </w:rPr>
              <w:t xml:space="preserve">A.3 </w:t>
            </w:r>
          </w:p>
        </w:tc>
        <w:tc>
          <w:tcPr>
            <w:tcW w:w="991" w:type="dxa"/>
            <w:tcBorders>
              <w:top w:val="single" w:sz="4" w:space="0" w:color="000000"/>
              <w:left w:val="single" w:sz="4" w:space="0" w:color="000000"/>
              <w:bottom w:val="single" w:sz="4" w:space="0" w:color="000000"/>
              <w:right w:val="single" w:sz="4" w:space="0" w:color="000000"/>
            </w:tcBorders>
          </w:tcPr>
          <w:p w14:paraId="5344EBCA" w14:textId="77777777" w:rsidR="004A3CD3" w:rsidRDefault="006C0598">
            <w:pPr>
              <w:spacing w:after="0" w:line="259" w:lineRule="auto"/>
              <w:ind w:left="0" w:right="140" w:firstLine="0"/>
              <w:jc w:val="right"/>
            </w:pPr>
            <w:r>
              <w:t xml:space="preserve">2014 </w:t>
            </w:r>
          </w:p>
        </w:tc>
        <w:tc>
          <w:tcPr>
            <w:tcW w:w="7516" w:type="dxa"/>
            <w:tcBorders>
              <w:top w:val="single" w:sz="4" w:space="0" w:color="000000"/>
              <w:left w:val="single" w:sz="4" w:space="0" w:color="000000"/>
              <w:bottom w:val="single" w:sz="4" w:space="0" w:color="000000"/>
              <w:right w:val="single" w:sz="4" w:space="0" w:color="000000"/>
            </w:tcBorders>
          </w:tcPr>
          <w:p w14:paraId="161676CF" w14:textId="77777777" w:rsidR="004A3CD3" w:rsidRDefault="006C0598">
            <w:pPr>
              <w:spacing w:after="34" w:line="259" w:lineRule="auto"/>
              <w:ind w:left="0" w:right="0" w:firstLine="0"/>
              <w:jc w:val="left"/>
            </w:pPr>
            <w:r>
              <w:t>Official notice of 1</w:t>
            </w:r>
            <w:r>
              <w:rPr>
                <w:vertAlign w:val="superscript"/>
              </w:rPr>
              <w:t>er</w:t>
            </w:r>
            <w:r>
              <w:t xml:space="preserve"> December 2014 from the Brussels Region</w:t>
            </w:r>
          </w:p>
          <w:p w14:paraId="76D88F2E" w14:textId="77777777" w:rsidR="004A3CD3" w:rsidRDefault="006C0598">
            <w:pPr>
              <w:spacing w:after="0" w:line="259" w:lineRule="auto"/>
              <w:ind w:left="0" w:right="0" w:firstLine="0"/>
              <w:jc w:val="left"/>
            </w:pPr>
            <w:r>
              <w:t xml:space="preserve">Capital </w:t>
            </w:r>
          </w:p>
        </w:tc>
      </w:tr>
      <w:tr w:rsidR="00E933CB" w14:paraId="760966D0" w14:textId="77777777">
        <w:trPr>
          <w:trHeight w:val="319"/>
        </w:trPr>
        <w:tc>
          <w:tcPr>
            <w:tcW w:w="989" w:type="dxa"/>
            <w:tcBorders>
              <w:top w:val="single" w:sz="4" w:space="0" w:color="000000"/>
              <w:left w:val="single" w:sz="4" w:space="0" w:color="000000"/>
              <w:bottom w:val="single" w:sz="4" w:space="0" w:color="000000"/>
              <w:right w:val="single" w:sz="4" w:space="0" w:color="000000"/>
            </w:tcBorders>
          </w:tcPr>
          <w:p w14:paraId="45B236CA" w14:textId="77777777" w:rsidR="004A3CD3" w:rsidRDefault="006C0598">
            <w:pPr>
              <w:spacing w:after="0" w:line="259" w:lineRule="auto"/>
              <w:ind w:left="0" w:right="141" w:firstLine="0"/>
              <w:jc w:val="right"/>
            </w:pPr>
            <w:r>
              <w:rPr>
                <w:rFonts w:ascii="Century Gothic" w:eastAsia="Century Gothic" w:hAnsi="Century Gothic" w:cs="Century Gothic"/>
                <w:b/>
                <w:sz w:val="20"/>
              </w:rPr>
              <w:t xml:space="preserve">A.4 </w:t>
            </w:r>
          </w:p>
        </w:tc>
        <w:tc>
          <w:tcPr>
            <w:tcW w:w="991" w:type="dxa"/>
            <w:tcBorders>
              <w:top w:val="single" w:sz="4" w:space="0" w:color="000000"/>
              <w:left w:val="single" w:sz="4" w:space="0" w:color="000000"/>
              <w:bottom w:val="single" w:sz="4" w:space="0" w:color="000000"/>
              <w:right w:val="single" w:sz="4" w:space="0" w:color="000000"/>
            </w:tcBorders>
          </w:tcPr>
          <w:p w14:paraId="60ECC084" w14:textId="77777777" w:rsidR="004A3CD3" w:rsidRDefault="006C0598">
            <w:pPr>
              <w:spacing w:after="0" w:line="259" w:lineRule="auto"/>
              <w:ind w:left="0" w:right="140" w:firstLine="0"/>
              <w:jc w:val="right"/>
            </w:pPr>
            <w:r>
              <w:t xml:space="preserve">2015 </w:t>
            </w:r>
          </w:p>
        </w:tc>
        <w:tc>
          <w:tcPr>
            <w:tcW w:w="7516" w:type="dxa"/>
            <w:tcBorders>
              <w:top w:val="single" w:sz="4" w:space="0" w:color="000000"/>
              <w:left w:val="single" w:sz="4" w:space="0" w:color="000000"/>
              <w:bottom w:val="single" w:sz="4" w:space="0" w:color="000000"/>
              <w:right w:val="single" w:sz="4" w:space="0" w:color="000000"/>
            </w:tcBorders>
          </w:tcPr>
          <w:p w14:paraId="75A27FB0" w14:textId="77777777" w:rsidR="004A3CD3" w:rsidRDefault="006C0598">
            <w:pPr>
              <w:spacing w:after="0" w:line="259" w:lineRule="auto"/>
              <w:ind w:left="0" w:right="0" w:firstLine="0"/>
              <w:jc w:val="left"/>
            </w:pPr>
            <w:r>
              <w:t xml:space="preserve">Official notice of 2 January 2015 from the Walloon Region </w:t>
            </w:r>
          </w:p>
        </w:tc>
      </w:tr>
      <w:tr w:rsidR="00E933CB" w14:paraId="507093B3" w14:textId="77777777">
        <w:trPr>
          <w:trHeight w:val="319"/>
        </w:trPr>
        <w:tc>
          <w:tcPr>
            <w:tcW w:w="989" w:type="dxa"/>
            <w:tcBorders>
              <w:top w:val="single" w:sz="4" w:space="0" w:color="000000"/>
              <w:left w:val="single" w:sz="4" w:space="0" w:color="000000"/>
              <w:bottom w:val="single" w:sz="4" w:space="0" w:color="000000"/>
              <w:right w:val="single" w:sz="4" w:space="0" w:color="000000"/>
            </w:tcBorders>
          </w:tcPr>
          <w:p w14:paraId="61BA3EB5" w14:textId="77777777" w:rsidR="004A3CD3" w:rsidRDefault="006C0598">
            <w:pPr>
              <w:spacing w:after="0" w:line="259" w:lineRule="auto"/>
              <w:ind w:left="0" w:right="141" w:firstLine="0"/>
              <w:jc w:val="right"/>
            </w:pPr>
            <w:r>
              <w:rPr>
                <w:rFonts w:ascii="Century Gothic" w:eastAsia="Century Gothic" w:hAnsi="Century Gothic" w:cs="Century Gothic"/>
                <w:b/>
                <w:sz w:val="20"/>
              </w:rPr>
              <w:t xml:space="preserve">A.5 </w:t>
            </w:r>
          </w:p>
        </w:tc>
        <w:tc>
          <w:tcPr>
            <w:tcW w:w="991" w:type="dxa"/>
            <w:tcBorders>
              <w:top w:val="single" w:sz="4" w:space="0" w:color="000000"/>
              <w:left w:val="single" w:sz="4" w:space="0" w:color="000000"/>
              <w:bottom w:val="single" w:sz="4" w:space="0" w:color="000000"/>
              <w:right w:val="single" w:sz="4" w:space="0" w:color="000000"/>
            </w:tcBorders>
          </w:tcPr>
          <w:p w14:paraId="41049D6A" w14:textId="77777777" w:rsidR="004A3CD3" w:rsidRDefault="006C0598">
            <w:pPr>
              <w:spacing w:after="0" w:line="259" w:lineRule="auto"/>
              <w:ind w:left="0" w:right="140" w:firstLine="0"/>
              <w:jc w:val="right"/>
            </w:pPr>
            <w:r>
              <w:t xml:space="preserve">2014 </w:t>
            </w:r>
          </w:p>
        </w:tc>
        <w:tc>
          <w:tcPr>
            <w:tcW w:w="7516" w:type="dxa"/>
            <w:tcBorders>
              <w:top w:val="single" w:sz="4" w:space="0" w:color="000000"/>
              <w:left w:val="single" w:sz="4" w:space="0" w:color="000000"/>
              <w:bottom w:val="single" w:sz="4" w:space="0" w:color="000000"/>
              <w:right w:val="single" w:sz="4" w:space="0" w:color="000000"/>
            </w:tcBorders>
          </w:tcPr>
          <w:p w14:paraId="6917C86B" w14:textId="77777777" w:rsidR="004A3CD3" w:rsidRDefault="006C0598">
            <w:pPr>
              <w:spacing w:after="0" w:line="259" w:lineRule="auto"/>
              <w:ind w:left="0" w:right="0" w:firstLine="0"/>
              <w:jc w:val="left"/>
            </w:pPr>
            <w:r>
              <w:t xml:space="preserve">Official response 19 December 2014 from the Flemish Region </w:t>
            </w:r>
          </w:p>
        </w:tc>
      </w:tr>
      <w:tr w:rsidR="00E933CB" w14:paraId="7129BB90" w14:textId="77777777">
        <w:trPr>
          <w:trHeight w:val="320"/>
        </w:trPr>
        <w:tc>
          <w:tcPr>
            <w:tcW w:w="989" w:type="dxa"/>
            <w:tcBorders>
              <w:top w:val="single" w:sz="4" w:space="0" w:color="000000"/>
              <w:left w:val="single" w:sz="4" w:space="0" w:color="000000"/>
              <w:bottom w:val="single" w:sz="4" w:space="0" w:color="000000"/>
              <w:right w:val="single" w:sz="4" w:space="0" w:color="000000"/>
            </w:tcBorders>
          </w:tcPr>
          <w:p w14:paraId="09DF2A46" w14:textId="77777777" w:rsidR="004A3CD3" w:rsidRDefault="006C0598">
            <w:pPr>
              <w:spacing w:after="0" w:line="259" w:lineRule="auto"/>
              <w:ind w:left="0" w:right="141" w:firstLine="0"/>
              <w:jc w:val="right"/>
            </w:pPr>
            <w:r>
              <w:rPr>
                <w:rFonts w:ascii="Century Gothic" w:eastAsia="Century Gothic" w:hAnsi="Century Gothic" w:cs="Century Gothic"/>
                <w:b/>
                <w:sz w:val="20"/>
              </w:rPr>
              <w:t xml:space="preserve">A.6 </w:t>
            </w:r>
          </w:p>
        </w:tc>
        <w:tc>
          <w:tcPr>
            <w:tcW w:w="991" w:type="dxa"/>
            <w:tcBorders>
              <w:top w:val="single" w:sz="4" w:space="0" w:color="000000"/>
              <w:left w:val="single" w:sz="4" w:space="0" w:color="000000"/>
              <w:bottom w:val="single" w:sz="4" w:space="0" w:color="000000"/>
              <w:right w:val="single" w:sz="4" w:space="0" w:color="000000"/>
            </w:tcBorders>
          </w:tcPr>
          <w:p w14:paraId="516576A7" w14:textId="77777777" w:rsidR="004A3CD3" w:rsidRDefault="006C0598">
            <w:pPr>
              <w:spacing w:after="0" w:line="259" w:lineRule="auto"/>
              <w:ind w:left="0" w:right="140" w:firstLine="0"/>
              <w:jc w:val="right"/>
            </w:pPr>
            <w:r>
              <w:t xml:space="preserve">2015 </w:t>
            </w:r>
          </w:p>
        </w:tc>
        <w:tc>
          <w:tcPr>
            <w:tcW w:w="7516" w:type="dxa"/>
            <w:tcBorders>
              <w:top w:val="single" w:sz="4" w:space="0" w:color="000000"/>
              <w:left w:val="single" w:sz="4" w:space="0" w:color="000000"/>
              <w:bottom w:val="single" w:sz="4" w:space="0" w:color="000000"/>
              <w:right w:val="single" w:sz="4" w:space="0" w:color="000000"/>
            </w:tcBorders>
          </w:tcPr>
          <w:p w14:paraId="3C85B97D" w14:textId="77777777" w:rsidR="004A3CD3" w:rsidRDefault="006C0598">
            <w:pPr>
              <w:spacing w:after="0" w:line="259" w:lineRule="auto"/>
              <w:ind w:left="0" w:right="0" w:firstLine="0"/>
              <w:jc w:val="left"/>
            </w:pPr>
            <w:r>
              <w:t xml:space="preserve">Official response of 9 January 2015 from the Brussels-Capital Region </w:t>
            </w:r>
          </w:p>
        </w:tc>
      </w:tr>
      <w:tr w:rsidR="00E933CB" w14:paraId="053A1C69" w14:textId="77777777">
        <w:trPr>
          <w:trHeight w:val="317"/>
        </w:trPr>
        <w:tc>
          <w:tcPr>
            <w:tcW w:w="989" w:type="dxa"/>
            <w:tcBorders>
              <w:top w:val="single" w:sz="4" w:space="0" w:color="000000"/>
              <w:left w:val="single" w:sz="4" w:space="0" w:color="000000"/>
              <w:bottom w:val="single" w:sz="4" w:space="0" w:color="000000"/>
              <w:right w:val="single" w:sz="4" w:space="0" w:color="000000"/>
            </w:tcBorders>
          </w:tcPr>
          <w:p w14:paraId="690D6444" w14:textId="77777777" w:rsidR="004A3CD3" w:rsidRDefault="006C0598">
            <w:pPr>
              <w:spacing w:after="0" w:line="259" w:lineRule="auto"/>
              <w:ind w:left="0" w:right="141" w:firstLine="0"/>
              <w:jc w:val="right"/>
            </w:pPr>
            <w:r>
              <w:rPr>
                <w:rFonts w:ascii="Century Gothic" w:eastAsia="Century Gothic" w:hAnsi="Century Gothic" w:cs="Century Gothic"/>
                <w:b/>
                <w:sz w:val="20"/>
              </w:rPr>
              <w:t xml:space="preserve">A.7 </w:t>
            </w:r>
          </w:p>
        </w:tc>
        <w:tc>
          <w:tcPr>
            <w:tcW w:w="991" w:type="dxa"/>
            <w:tcBorders>
              <w:top w:val="single" w:sz="4" w:space="0" w:color="000000"/>
              <w:left w:val="single" w:sz="4" w:space="0" w:color="000000"/>
              <w:bottom w:val="single" w:sz="4" w:space="0" w:color="000000"/>
              <w:right w:val="single" w:sz="4" w:space="0" w:color="000000"/>
            </w:tcBorders>
          </w:tcPr>
          <w:p w14:paraId="41CC86B4" w14:textId="77777777" w:rsidR="004A3CD3" w:rsidRDefault="006C0598">
            <w:pPr>
              <w:spacing w:after="0" w:line="259" w:lineRule="auto"/>
              <w:ind w:left="0" w:right="140" w:firstLine="0"/>
              <w:jc w:val="right"/>
            </w:pPr>
            <w:r>
              <w:t xml:space="preserve">2015 </w:t>
            </w:r>
          </w:p>
        </w:tc>
        <w:tc>
          <w:tcPr>
            <w:tcW w:w="7516" w:type="dxa"/>
            <w:tcBorders>
              <w:top w:val="single" w:sz="4" w:space="0" w:color="000000"/>
              <w:left w:val="single" w:sz="4" w:space="0" w:color="000000"/>
              <w:bottom w:val="single" w:sz="4" w:space="0" w:color="000000"/>
              <w:right w:val="single" w:sz="4" w:space="0" w:color="000000"/>
            </w:tcBorders>
          </w:tcPr>
          <w:p w14:paraId="5E5886D9" w14:textId="77777777" w:rsidR="004A3CD3" w:rsidRDefault="006C0598">
            <w:pPr>
              <w:spacing w:after="0" w:line="259" w:lineRule="auto"/>
              <w:ind w:left="0" w:right="0" w:firstLine="0"/>
              <w:jc w:val="left"/>
            </w:pPr>
            <w:r>
              <w:t xml:space="preserve">Official response from the Walloon Region on 23 February </w:t>
            </w:r>
          </w:p>
        </w:tc>
      </w:tr>
      <w:tr w:rsidR="00E933CB" w14:paraId="3B42869C" w14:textId="77777777">
        <w:trPr>
          <w:trHeight w:val="629"/>
        </w:trPr>
        <w:tc>
          <w:tcPr>
            <w:tcW w:w="989" w:type="dxa"/>
            <w:tcBorders>
              <w:top w:val="single" w:sz="4" w:space="0" w:color="000000"/>
              <w:left w:val="single" w:sz="4" w:space="0" w:color="000000"/>
              <w:bottom w:val="single" w:sz="4" w:space="0" w:color="000000"/>
              <w:right w:val="single" w:sz="4" w:space="0" w:color="000000"/>
            </w:tcBorders>
          </w:tcPr>
          <w:p w14:paraId="21609900" w14:textId="77777777" w:rsidR="004A3CD3" w:rsidRDefault="006C0598">
            <w:pPr>
              <w:spacing w:after="0" w:line="259" w:lineRule="auto"/>
              <w:ind w:left="0" w:right="141" w:firstLine="0"/>
              <w:jc w:val="right"/>
            </w:pPr>
            <w:r>
              <w:rPr>
                <w:rFonts w:ascii="Century Gothic" w:eastAsia="Century Gothic" w:hAnsi="Century Gothic" w:cs="Century Gothic"/>
                <w:b/>
                <w:sz w:val="20"/>
              </w:rPr>
              <w:t xml:space="preserve">A.8 </w:t>
            </w:r>
          </w:p>
        </w:tc>
        <w:tc>
          <w:tcPr>
            <w:tcW w:w="991" w:type="dxa"/>
            <w:tcBorders>
              <w:top w:val="single" w:sz="4" w:space="0" w:color="000000"/>
              <w:left w:val="single" w:sz="4" w:space="0" w:color="000000"/>
              <w:bottom w:val="single" w:sz="4" w:space="0" w:color="000000"/>
              <w:right w:val="single" w:sz="4" w:space="0" w:color="000000"/>
            </w:tcBorders>
          </w:tcPr>
          <w:p w14:paraId="11DA58F7" w14:textId="77777777" w:rsidR="004A3CD3" w:rsidRDefault="006C0598">
            <w:pPr>
              <w:spacing w:after="0" w:line="259" w:lineRule="auto"/>
              <w:ind w:left="0" w:right="140" w:firstLine="0"/>
              <w:jc w:val="right"/>
            </w:pPr>
            <w:r>
              <w:t xml:space="preserve">2015 </w:t>
            </w:r>
          </w:p>
        </w:tc>
        <w:tc>
          <w:tcPr>
            <w:tcW w:w="7516" w:type="dxa"/>
            <w:tcBorders>
              <w:top w:val="single" w:sz="4" w:space="0" w:color="000000"/>
              <w:left w:val="single" w:sz="4" w:space="0" w:color="000000"/>
              <w:bottom w:val="single" w:sz="4" w:space="0" w:color="000000"/>
              <w:right w:val="single" w:sz="4" w:space="0" w:color="000000"/>
            </w:tcBorders>
          </w:tcPr>
          <w:p w14:paraId="0093A58B" w14:textId="77777777" w:rsidR="004A3CD3" w:rsidRDefault="006C0598">
            <w:pPr>
              <w:spacing w:after="0" w:line="259" w:lineRule="auto"/>
              <w:ind w:left="0" w:right="0" w:firstLine="0"/>
            </w:pPr>
            <w:r>
              <w:t xml:space="preserve">Letter from Minister Marie-Christine Marghem (invitation to ministerial meeting) of 29 January 2015 </w:t>
            </w:r>
          </w:p>
        </w:tc>
      </w:tr>
      <w:tr w:rsidR="00E933CB" w14:paraId="5253BE6A" w14:textId="77777777">
        <w:trPr>
          <w:trHeight w:val="319"/>
        </w:trPr>
        <w:tc>
          <w:tcPr>
            <w:tcW w:w="989" w:type="dxa"/>
            <w:tcBorders>
              <w:top w:val="single" w:sz="4" w:space="0" w:color="000000"/>
              <w:left w:val="single" w:sz="4" w:space="0" w:color="000000"/>
              <w:bottom w:val="single" w:sz="4" w:space="0" w:color="000000"/>
              <w:right w:val="single" w:sz="4" w:space="0" w:color="000000"/>
            </w:tcBorders>
          </w:tcPr>
          <w:p w14:paraId="0232E299" w14:textId="77777777" w:rsidR="004A3CD3" w:rsidRDefault="006C0598">
            <w:pPr>
              <w:spacing w:after="0" w:line="259" w:lineRule="auto"/>
              <w:ind w:left="0" w:right="141" w:firstLine="0"/>
              <w:jc w:val="right"/>
            </w:pPr>
            <w:r>
              <w:rPr>
                <w:rFonts w:ascii="Century Gothic" w:eastAsia="Century Gothic" w:hAnsi="Century Gothic" w:cs="Century Gothic"/>
                <w:b/>
                <w:sz w:val="20"/>
              </w:rPr>
              <w:t xml:space="preserve">A.9 </w:t>
            </w:r>
          </w:p>
        </w:tc>
        <w:tc>
          <w:tcPr>
            <w:tcW w:w="991" w:type="dxa"/>
            <w:tcBorders>
              <w:top w:val="single" w:sz="4" w:space="0" w:color="000000"/>
              <w:left w:val="single" w:sz="4" w:space="0" w:color="000000"/>
              <w:bottom w:val="single" w:sz="4" w:space="0" w:color="000000"/>
              <w:right w:val="single" w:sz="4" w:space="0" w:color="000000"/>
            </w:tcBorders>
          </w:tcPr>
          <w:p w14:paraId="752BB0F1" w14:textId="77777777" w:rsidR="004A3CD3" w:rsidRDefault="006C0598">
            <w:pPr>
              <w:spacing w:after="0" w:line="259" w:lineRule="auto"/>
              <w:ind w:left="0" w:right="140" w:firstLine="0"/>
              <w:jc w:val="right"/>
            </w:pPr>
            <w:r>
              <w:t xml:space="preserve">2015 </w:t>
            </w:r>
          </w:p>
        </w:tc>
        <w:tc>
          <w:tcPr>
            <w:tcW w:w="7516" w:type="dxa"/>
            <w:tcBorders>
              <w:top w:val="single" w:sz="4" w:space="0" w:color="000000"/>
              <w:left w:val="single" w:sz="4" w:space="0" w:color="000000"/>
              <w:bottom w:val="single" w:sz="4" w:space="0" w:color="000000"/>
              <w:right w:val="single" w:sz="4" w:space="0" w:color="000000"/>
            </w:tcBorders>
          </w:tcPr>
          <w:p w14:paraId="282FF196" w14:textId="77777777" w:rsidR="004A3CD3" w:rsidRDefault="006C0598">
            <w:pPr>
              <w:spacing w:after="0" w:line="259" w:lineRule="auto"/>
              <w:ind w:left="0" w:right="0" w:firstLine="0"/>
              <w:jc w:val="left"/>
            </w:pPr>
            <w:r>
              <w:t xml:space="preserve">Letter to the Belgian State of 13 April 2015 </w:t>
            </w:r>
          </w:p>
        </w:tc>
      </w:tr>
      <w:tr w:rsidR="00E933CB" w14:paraId="52D34E16" w14:textId="77777777">
        <w:trPr>
          <w:trHeight w:val="319"/>
        </w:trPr>
        <w:tc>
          <w:tcPr>
            <w:tcW w:w="989" w:type="dxa"/>
            <w:tcBorders>
              <w:top w:val="single" w:sz="4" w:space="0" w:color="000000"/>
              <w:left w:val="single" w:sz="4" w:space="0" w:color="000000"/>
              <w:bottom w:val="single" w:sz="4" w:space="0" w:color="000000"/>
              <w:right w:val="single" w:sz="4" w:space="0" w:color="000000"/>
            </w:tcBorders>
          </w:tcPr>
          <w:p w14:paraId="71BCC7D0" w14:textId="77777777" w:rsidR="004A3CD3" w:rsidRDefault="006C0598">
            <w:pPr>
              <w:spacing w:after="0" w:line="259" w:lineRule="auto"/>
              <w:ind w:left="0" w:right="30" w:firstLine="0"/>
              <w:jc w:val="right"/>
            </w:pPr>
            <w:r>
              <w:rPr>
                <w:rFonts w:ascii="Century Gothic" w:eastAsia="Century Gothic" w:hAnsi="Century Gothic" w:cs="Century Gothic"/>
                <w:b/>
                <w:sz w:val="20"/>
              </w:rPr>
              <w:t xml:space="preserve">A.10 </w:t>
            </w:r>
          </w:p>
        </w:tc>
        <w:tc>
          <w:tcPr>
            <w:tcW w:w="991" w:type="dxa"/>
            <w:tcBorders>
              <w:top w:val="single" w:sz="4" w:space="0" w:color="000000"/>
              <w:left w:val="single" w:sz="4" w:space="0" w:color="000000"/>
              <w:bottom w:val="single" w:sz="4" w:space="0" w:color="000000"/>
              <w:right w:val="single" w:sz="4" w:space="0" w:color="000000"/>
            </w:tcBorders>
          </w:tcPr>
          <w:p w14:paraId="724A788F" w14:textId="77777777" w:rsidR="004A3CD3" w:rsidRDefault="006C0598">
            <w:pPr>
              <w:spacing w:after="0" w:line="259" w:lineRule="auto"/>
              <w:ind w:left="0" w:right="140" w:firstLine="0"/>
              <w:jc w:val="right"/>
            </w:pPr>
            <w:r>
              <w:t xml:space="preserve">2015 </w:t>
            </w:r>
          </w:p>
        </w:tc>
        <w:tc>
          <w:tcPr>
            <w:tcW w:w="7516" w:type="dxa"/>
            <w:tcBorders>
              <w:top w:val="single" w:sz="4" w:space="0" w:color="000000"/>
              <w:left w:val="single" w:sz="4" w:space="0" w:color="000000"/>
              <w:bottom w:val="single" w:sz="4" w:space="0" w:color="000000"/>
              <w:right w:val="single" w:sz="4" w:space="0" w:color="000000"/>
            </w:tcBorders>
          </w:tcPr>
          <w:p w14:paraId="2E000BD9" w14:textId="77777777" w:rsidR="004A3CD3" w:rsidRDefault="006C0598">
            <w:pPr>
              <w:spacing w:after="0" w:line="259" w:lineRule="auto"/>
              <w:ind w:left="0" w:right="0" w:firstLine="0"/>
              <w:jc w:val="left"/>
            </w:pPr>
            <w:r>
              <w:t xml:space="preserve">Letter to the Walloon Region of 13 April 2015 </w:t>
            </w:r>
          </w:p>
        </w:tc>
      </w:tr>
      <w:tr w:rsidR="00E933CB" w14:paraId="1264FF5F" w14:textId="77777777">
        <w:trPr>
          <w:trHeight w:val="320"/>
        </w:trPr>
        <w:tc>
          <w:tcPr>
            <w:tcW w:w="989" w:type="dxa"/>
            <w:tcBorders>
              <w:top w:val="single" w:sz="4" w:space="0" w:color="000000"/>
              <w:left w:val="single" w:sz="4" w:space="0" w:color="000000"/>
              <w:bottom w:val="single" w:sz="4" w:space="0" w:color="000000"/>
              <w:right w:val="single" w:sz="4" w:space="0" w:color="000000"/>
            </w:tcBorders>
          </w:tcPr>
          <w:p w14:paraId="0F677C0F" w14:textId="77777777" w:rsidR="004A3CD3" w:rsidRDefault="006C0598">
            <w:pPr>
              <w:spacing w:after="0" w:line="259" w:lineRule="auto"/>
              <w:ind w:left="0" w:right="30" w:firstLine="0"/>
              <w:jc w:val="right"/>
            </w:pPr>
            <w:r>
              <w:rPr>
                <w:rFonts w:ascii="Century Gothic" w:eastAsia="Century Gothic" w:hAnsi="Century Gothic" w:cs="Century Gothic"/>
                <w:b/>
                <w:sz w:val="20"/>
              </w:rPr>
              <w:t xml:space="preserve">A.11 </w:t>
            </w:r>
          </w:p>
        </w:tc>
        <w:tc>
          <w:tcPr>
            <w:tcW w:w="991" w:type="dxa"/>
            <w:tcBorders>
              <w:top w:val="single" w:sz="4" w:space="0" w:color="000000"/>
              <w:left w:val="single" w:sz="4" w:space="0" w:color="000000"/>
              <w:bottom w:val="single" w:sz="4" w:space="0" w:color="000000"/>
              <w:right w:val="single" w:sz="4" w:space="0" w:color="000000"/>
            </w:tcBorders>
          </w:tcPr>
          <w:p w14:paraId="100F0BAB" w14:textId="77777777" w:rsidR="004A3CD3" w:rsidRDefault="006C0598">
            <w:pPr>
              <w:spacing w:after="0" w:line="259" w:lineRule="auto"/>
              <w:ind w:left="0" w:right="140" w:firstLine="0"/>
              <w:jc w:val="right"/>
            </w:pPr>
            <w:r>
              <w:t xml:space="preserve">2015 </w:t>
            </w:r>
          </w:p>
        </w:tc>
        <w:tc>
          <w:tcPr>
            <w:tcW w:w="7516" w:type="dxa"/>
            <w:tcBorders>
              <w:top w:val="single" w:sz="4" w:space="0" w:color="000000"/>
              <w:left w:val="single" w:sz="4" w:space="0" w:color="000000"/>
              <w:bottom w:val="single" w:sz="4" w:space="0" w:color="000000"/>
              <w:right w:val="single" w:sz="4" w:space="0" w:color="000000"/>
            </w:tcBorders>
          </w:tcPr>
          <w:p w14:paraId="2C3F45C9" w14:textId="77777777" w:rsidR="004A3CD3" w:rsidRDefault="006C0598">
            <w:pPr>
              <w:spacing w:after="0" w:line="259" w:lineRule="auto"/>
              <w:ind w:left="0" w:right="0" w:firstLine="0"/>
              <w:jc w:val="left"/>
            </w:pPr>
            <w:r>
              <w:t xml:space="preserve">Letter to the Brussels-Capital Region of 13 April 2015 </w:t>
            </w:r>
          </w:p>
        </w:tc>
      </w:tr>
      <w:tr w:rsidR="00E933CB" w14:paraId="755317A5" w14:textId="77777777">
        <w:trPr>
          <w:trHeight w:val="319"/>
        </w:trPr>
        <w:tc>
          <w:tcPr>
            <w:tcW w:w="989" w:type="dxa"/>
            <w:tcBorders>
              <w:top w:val="single" w:sz="4" w:space="0" w:color="000000"/>
              <w:left w:val="single" w:sz="4" w:space="0" w:color="000000"/>
              <w:bottom w:val="single" w:sz="4" w:space="0" w:color="000000"/>
              <w:right w:val="single" w:sz="4" w:space="0" w:color="000000"/>
            </w:tcBorders>
          </w:tcPr>
          <w:p w14:paraId="47A5A0B3" w14:textId="77777777" w:rsidR="004A3CD3" w:rsidRDefault="006C0598">
            <w:pPr>
              <w:spacing w:after="0" w:line="259" w:lineRule="auto"/>
              <w:ind w:left="0" w:right="30" w:firstLine="0"/>
              <w:jc w:val="right"/>
            </w:pPr>
            <w:r>
              <w:rPr>
                <w:rFonts w:ascii="Century Gothic" w:eastAsia="Century Gothic" w:hAnsi="Century Gothic" w:cs="Century Gothic"/>
                <w:b/>
                <w:sz w:val="20"/>
              </w:rPr>
              <w:t xml:space="preserve">A.12 </w:t>
            </w:r>
          </w:p>
        </w:tc>
        <w:tc>
          <w:tcPr>
            <w:tcW w:w="991" w:type="dxa"/>
            <w:tcBorders>
              <w:top w:val="single" w:sz="4" w:space="0" w:color="000000"/>
              <w:left w:val="single" w:sz="4" w:space="0" w:color="000000"/>
              <w:bottom w:val="single" w:sz="4" w:space="0" w:color="000000"/>
              <w:right w:val="single" w:sz="4" w:space="0" w:color="000000"/>
            </w:tcBorders>
          </w:tcPr>
          <w:p w14:paraId="3812CDEB" w14:textId="77777777" w:rsidR="004A3CD3" w:rsidRDefault="006C0598">
            <w:pPr>
              <w:spacing w:after="0" w:line="259" w:lineRule="auto"/>
              <w:ind w:left="0" w:right="140" w:firstLine="0"/>
              <w:jc w:val="right"/>
            </w:pPr>
            <w:r>
              <w:t xml:space="preserve">2015 </w:t>
            </w:r>
          </w:p>
        </w:tc>
        <w:tc>
          <w:tcPr>
            <w:tcW w:w="7516" w:type="dxa"/>
            <w:tcBorders>
              <w:top w:val="single" w:sz="4" w:space="0" w:color="000000"/>
              <w:left w:val="single" w:sz="4" w:space="0" w:color="000000"/>
              <w:bottom w:val="single" w:sz="4" w:space="0" w:color="000000"/>
              <w:right w:val="single" w:sz="4" w:space="0" w:color="000000"/>
            </w:tcBorders>
          </w:tcPr>
          <w:p w14:paraId="44727083" w14:textId="77777777" w:rsidR="004A3CD3" w:rsidRDefault="006C0598">
            <w:pPr>
              <w:spacing w:after="0" w:line="259" w:lineRule="auto"/>
              <w:ind w:left="0" w:right="0" w:firstLine="0"/>
              <w:jc w:val="left"/>
            </w:pPr>
            <w:r>
              <w:t xml:space="preserve">Letter to the Flemish Region of 13 April 2015 </w:t>
            </w:r>
          </w:p>
        </w:tc>
      </w:tr>
      <w:tr w:rsidR="00E933CB" w14:paraId="5B22BFDE" w14:textId="77777777">
        <w:trPr>
          <w:trHeight w:val="319"/>
        </w:trPr>
        <w:tc>
          <w:tcPr>
            <w:tcW w:w="989" w:type="dxa"/>
            <w:tcBorders>
              <w:top w:val="single" w:sz="4" w:space="0" w:color="000000"/>
              <w:left w:val="single" w:sz="4" w:space="0" w:color="000000"/>
              <w:bottom w:val="single" w:sz="4" w:space="0" w:color="000000"/>
              <w:right w:val="single" w:sz="4" w:space="0" w:color="000000"/>
            </w:tcBorders>
          </w:tcPr>
          <w:p w14:paraId="0FBF0EC7" w14:textId="77777777" w:rsidR="004A3CD3" w:rsidRDefault="006C0598">
            <w:pPr>
              <w:spacing w:after="0" w:line="259" w:lineRule="auto"/>
              <w:ind w:left="0" w:right="30" w:firstLine="0"/>
              <w:jc w:val="right"/>
            </w:pPr>
            <w:r>
              <w:rPr>
                <w:rFonts w:ascii="Century Gothic" w:eastAsia="Century Gothic" w:hAnsi="Century Gothic" w:cs="Century Gothic"/>
                <w:b/>
                <w:sz w:val="20"/>
              </w:rPr>
              <w:t xml:space="preserve">A.13 </w:t>
            </w:r>
          </w:p>
        </w:tc>
        <w:tc>
          <w:tcPr>
            <w:tcW w:w="991" w:type="dxa"/>
            <w:tcBorders>
              <w:top w:val="single" w:sz="4" w:space="0" w:color="000000"/>
              <w:left w:val="single" w:sz="4" w:space="0" w:color="000000"/>
              <w:bottom w:val="single" w:sz="4" w:space="0" w:color="000000"/>
              <w:right w:val="single" w:sz="4" w:space="0" w:color="000000"/>
            </w:tcBorders>
          </w:tcPr>
          <w:p w14:paraId="2FA6A942" w14:textId="77777777" w:rsidR="004A3CD3" w:rsidRDefault="006C0598">
            <w:pPr>
              <w:spacing w:after="0" w:line="259" w:lineRule="auto"/>
              <w:ind w:left="0" w:right="140" w:firstLine="0"/>
              <w:jc w:val="right"/>
            </w:pPr>
            <w:r>
              <w:t xml:space="preserve">2015 </w:t>
            </w:r>
          </w:p>
        </w:tc>
        <w:tc>
          <w:tcPr>
            <w:tcW w:w="7516" w:type="dxa"/>
            <w:tcBorders>
              <w:top w:val="single" w:sz="4" w:space="0" w:color="000000"/>
              <w:left w:val="single" w:sz="4" w:space="0" w:color="000000"/>
              <w:bottom w:val="single" w:sz="4" w:space="0" w:color="000000"/>
              <w:right w:val="single" w:sz="4" w:space="0" w:color="000000"/>
            </w:tcBorders>
          </w:tcPr>
          <w:p w14:paraId="27B80EF6" w14:textId="77777777" w:rsidR="004A3CD3" w:rsidRDefault="006C0598">
            <w:pPr>
              <w:spacing w:after="0" w:line="259" w:lineRule="auto"/>
              <w:ind w:left="0" w:right="0" w:firstLine="0"/>
              <w:jc w:val="left"/>
            </w:pPr>
            <w:r>
              <w:t xml:space="preserve">Response from the Flemish Region of 20 April 2015 </w:t>
            </w:r>
          </w:p>
        </w:tc>
      </w:tr>
      <w:tr w:rsidR="00E933CB" w14:paraId="25986A4A" w14:textId="77777777">
        <w:trPr>
          <w:trHeight w:val="319"/>
        </w:trPr>
        <w:tc>
          <w:tcPr>
            <w:tcW w:w="989" w:type="dxa"/>
            <w:tcBorders>
              <w:top w:val="single" w:sz="4" w:space="0" w:color="000000"/>
              <w:left w:val="single" w:sz="4" w:space="0" w:color="000000"/>
              <w:bottom w:val="single" w:sz="4" w:space="0" w:color="000000"/>
              <w:right w:val="single" w:sz="4" w:space="0" w:color="000000"/>
            </w:tcBorders>
          </w:tcPr>
          <w:p w14:paraId="5F2792F2" w14:textId="77777777" w:rsidR="004A3CD3" w:rsidRDefault="006C0598">
            <w:pPr>
              <w:spacing w:after="0" w:line="259" w:lineRule="auto"/>
              <w:ind w:left="0" w:right="30" w:firstLine="0"/>
              <w:jc w:val="right"/>
            </w:pPr>
            <w:r>
              <w:rPr>
                <w:rFonts w:ascii="Century Gothic" w:eastAsia="Century Gothic" w:hAnsi="Century Gothic" w:cs="Century Gothic"/>
                <w:b/>
                <w:sz w:val="20"/>
              </w:rPr>
              <w:t xml:space="preserve">A.14 </w:t>
            </w:r>
          </w:p>
        </w:tc>
        <w:tc>
          <w:tcPr>
            <w:tcW w:w="991" w:type="dxa"/>
            <w:tcBorders>
              <w:top w:val="single" w:sz="4" w:space="0" w:color="000000"/>
              <w:left w:val="single" w:sz="4" w:space="0" w:color="000000"/>
              <w:bottom w:val="single" w:sz="4" w:space="0" w:color="000000"/>
              <w:right w:val="single" w:sz="4" w:space="0" w:color="000000"/>
            </w:tcBorders>
          </w:tcPr>
          <w:p w14:paraId="0C3D2BF4" w14:textId="77777777" w:rsidR="004A3CD3" w:rsidRDefault="006C0598">
            <w:pPr>
              <w:spacing w:after="0" w:line="259" w:lineRule="auto"/>
              <w:ind w:left="0" w:right="140" w:firstLine="0"/>
              <w:jc w:val="right"/>
            </w:pPr>
            <w:r>
              <w:t xml:space="preserve">2015 </w:t>
            </w:r>
          </w:p>
        </w:tc>
        <w:tc>
          <w:tcPr>
            <w:tcW w:w="7516" w:type="dxa"/>
            <w:tcBorders>
              <w:top w:val="single" w:sz="4" w:space="0" w:color="000000"/>
              <w:left w:val="single" w:sz="4" w:space="0" w:color="000000"/>
              <w:bottom w:val="single" w:sz="4" w:space="0" w:color="000000"/>
              <w:right w:val="single" w:sz="4" w:space="0" w:color="000000"/>
            </w:tcBorders>
          </w:tcPr>
          <w:p w14:paraId="21CBE18C" w14:textId="77777777" w:rsidR="004A3CD3" w:rsidRDefault="006C0598">
            <w:pPr>
              <w:spacing w:after="0" w:line="259" w:lineRule="auto"/>
              <w:ind w:left="0" w:right="0" w:firstLine="0"/>
              <w:jc w:val="left"/>
            </w:pPr>
            <w:r>
              <w:t xml:space="preserve">Response from the Brussels-Capital Region of 5 May 2015 </w:t>
            </w:r>
          </w:p>
        </w:tc>
      </w:tr>
      <w:tr w:rsidR="00E933CB" w14:paraId="6DE7C2BE" w14:textId="77777777">
        <w:trPr>
          <w:trHeight w:val="319"/>
        </w:trPr>
        <w:tc>
          <w:tcPr>
            <w:tcW w:w="989" w:type="dxa"/>
            <w:tcBorders>
              <w:top w:val="single" w:sz="4" w:space="0" w:color="000000"/>
              <w:left w:val="single" w:sz="4" w:space="0" w:color="000000"/>
              <w:bottom w:val="single" w:sz="4" w:space="0" w:color="000000"/>
              <w:right w:val="single" w:sz="4" w:space="0" w:color="000000"/>
            </w:tcBorders>
          </w:tcPr>
          <w:p w14:paraId="633255B9" w14:textId="77777777" w:rsidR="004A3CD3" w:rsidRDefault="006C0598">
            <w:pPr>
              <w:spacing w:after="0" w:line="259" w:lineRule="auto"/>
              <w:ind w:left="0" w:right="30" w:firstLine="0"/>
              <w:jc w:val="right"/>
            </w:pPr>
            <w:r>
              <w:rPr>
                <w:rFonts w:ascii="Century Gothic" w:eastAsia="Century Gothic" w:hAnsi="Century Gothic" w:cs="Century Gothic"/>
                <w:b/>
                <w:sz w:val="20"/>
              </w:rPr>
              <w:t xml:space="preserve">A.15 </w:t>
            </w:r>
          </w:p>
        </w:tc>
        <w:tc>
          <w:tcPr>
            <w:tcW w:w="991" w:type="dxa"/>
            <w:tcBorders>
              <w:top w:val="single" w:sz="4" w:space="0" w:color="000000"/>
              <w:left w:val="single" w:sz="4" w:space="0" w:color="000000"/>
              <w:bottom w:val="single" w:sz="4" w:space="0" w:color="000000"/>
              <w:right w:val="single" w:sz="4" w:space="0" w:color="000000"/>
            </w:tcBorders>
          </w:tcPr>
          <w:p w14:paraId="1D0F86EE" w14:textId="77777777" w:rsidR="004A3CD3" w:rsidRDefault="006C0598">
            <w:pPr>
              <w:spacing w:after="0" w:line="259" w:lineRule="auto"/>
              <w:ind w:left="0" w:right="140" w:firstLine="0"/>
              <w:jc w:val="right"/>
            </w:pPr>
            <w:r>
              <w:t xml:space="preserve">2015 </w:t>
            </w:r>
          </w:p>
        </w:tc>
        <w:tc>
          <w:tcPr>
            <w:tcW w:w="7516" w:type="dxa"/>
            <w:tcBorders>
              <w:top w:val="single" w:sz="4" w:space="0" w:color="000000"/>
              <w:left w:val="single" w:sz="4" w:space="0" w:color="000000"/>
              <w:bottom w:val="single" w:sz="4" w:space="0" w:color="000000"/>
              <w:right w:val="single" w:sz="4" w:space="0" w:color="000000"/>
            </w:tcBorders>
          </w:tcPr>
          <w:p w14:paraId="77B82170" w14:textId="77777777" w:rsidR="004A3CD3" w:rsidRDefault="006C0598">
            <w:pPr>
              <w:spacing w:after="0" w:line="259" w:lineRule="auto"/>
              <w:ind w:left="0" w:right="0" w:firstLine="0"/>
              <w:jc w:val="left"/>
            </w:pPr>
            <w:r>
              <w:t xml:space="preserve">Response from the Walloon Region of 8 May 2015 </w:t>
            </w:r>
          </w:p>
        </w:tc>
      </w:tr>
    </w:tbl>
    <w:p w14:paraId="6F26D301" w14:textId="77777777" w:rsidR="00E933CB" w:rsidRDefault="00825B93">
      <w:pPr>
        <w:spacing w:after="136" w:line="259" w:lineRule="auto"/>
        <w:ind w:left="464" w:right="0" w:firstLine="0"/>
      </w:pPr>
      <w:r>
        <w:t xml:space="preserve"> </w:t>
      </w:r>
    </w:p>
    <w:p w14:paraId="3F79C16D" w14:textId="77777777" w:rsidR="00E933CB" w:rsidRDefault="00825B93">
      <w:pPr>
        <w:spacing w:after="98" w:line="259" w:lineRule="auto"/>
        <w:ind w:left="464" w:right="0" w:firstLine="0"/>
      </w:pPr>
      <w:r>
        <w:t xml:space="preserve"> </w:t>
      </w:r>
    </w:p>
    <w:p w14:paraId="3CFE5A60" w14:textId="77777777" w:rsidR="00E933CB" w:rsidRDefault="00825B93">
      <w:pPr>
        <w:spacing w:after="0" w:line="259" w:lineRule="auto"/>
        <w:ind w:left="464" w:right="0" w:firstLine="0"/>
      </w:pPr>
      <w:r>
        <w:t xml:space="preserve"> </w:t>
      </w:r>
    </w:p>
    <w:tbl>
      <w:tblPr>
        <w:tblStyle w:val="TableGrid"/>
        <w:tblW w:w="9182" w:type="dxa"/>
        <w:tblInd w:w="468" w:type="dxa"/>
        <w:tblCellMar>
          <w:top w:w="48" w:type="dxa"/>
          <w:left w:w="77" w:type="dxa"/>
          <w:right w:w="44" w:type="dxa"/>
        </w:tblCellMar>
        <w:tblLook w:val="04A0" w:firstRow="1" w:lastRow="0" w:firstColumn="1" w:lastColumn="0" w:noHBand="0" w:noVBand="1"/>
      </w:tblPr>
      <w:tblGrid>
        <w:gridCol w:w="674"/>
        <w:gridCol w:w="1277"/>
        <w:gridCol w:w="7231"/>
      </w:tblGrid>
      <w:tr w:rsidR="00E933CB" w14:paraId="538E40C5" w14:textId="77777777">
        <w:trPr>
          <w:trHeight w:val="571"/>
        </w:trPr>
        <w:tc>
          <w:tcPr>
            <w:tcW w:w="674" w:type="dxa"/>
            <w:tcBorders>
              <w:top w:val="single" w:sz="4" w:space="0" w:color="000000"/>
              <w:left w:val="single" w:sz="4" w:space="0" w:color="000000"/>
              <w:bottom w:val="single" w:sz="4" w:space="0" w:color="000000"/>
              <w:right w:val="nil"/>
            </w:tcBorders>
          </w:tcPr>
          <w:p w14:paraId="04DDDE4F" w14:textId="77777777" w:rsidR="00E933CB" w:rsidRDefault="00E933CB">
            <w:pPr>
              <w:spacing w:after="160" w:line="259" w:lineRule="auto"/>
              <w:ind w:left="0" w:right="0" w:firstLine="0"/>
              <w:jc w:val="left"/>
            </w:pPr>
          </w:p>
        </w:tc>
        <w:tc>
          <w:tcPr>
            <w:tcW w:w="1277" w:type="dxa"/>
            <w:tcBorders>
              <w:top w:val="single" w:sz="4" w:space="0" w:color="000000"/>
              <w:left w:val="nil"/>
              <w:bottom w:val="single" w:sz="4" w:space="0" w:color="000000"/>
              <w:right w:val="nil"/>
            </w:tcBorders>
          </w:tcPr>
          <w:p w14:paraId="4EA63079" w14:textId="77777777" w:rsidR="00E933CB" w:rsidRDefault="00E933CB">
            <w:pPr>
              <w:spacing w:after="160" w:line="259" w:lineRule="auto"/>
              <w:ind w:left="0" w:right="0" w:firstLine="0"/>
              <w:jc w:val="left"/>
            </w:pPr>
          </w:p>
        </w:tc>
        <w:tc>
          <w:tcPr>
            <w:tcW w:w="7230" w:type="dxa"/>
            <w:tcBorders>
              <w:top w:val="single" w:sz="4" w:space="0" w:color="000000"/>
              <w:left w:val="nil"/>
              <w:bottom w:val="single" w:sz="4" w:space="0" w:color="000000"/>
              <w:right w:val="single" w:sz="4" w:space="0" w:color="000000"/>
            </w:tcBorders>
          </w:tcPr>
          <w:p w14:paraId="589E7F80" w14:textId="77777777" w:rsidR="004A3CD3" w:rsidRDefault="006C0598">
            <w:pPr>
              <w:spacing w:after="0" w:line="259" w:lineRule="auto"/>
              <w:ind w:left="1407" w:right="0" w:firstLine="0"/>
              <w:jc w:val="left"/>
            </w:pPr>
            <w:r>
              <w:rPr>
                <w:b/>
                <w:sz w:val="40"/>
              </w:rPr>
              <w:t xml:space="preserve">B. </w:t>
            </w:r>
            <w:r>
              <w:rPr>
                <w:b/>
                <w:sz w:val="40"/>
                <w:u w:val="single" w:color="000000"/>
              </w:rPr>
              <w:t xml:space="preserve">IPCC </w:t>
            </w:r>
          </w:p>
        </w:tc>
      </w:tr>
      <w:tr w:rsidR="00E933CB" w14:paraId="30E64D42"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1357954B" w14:textId="77777777" w:rsidR="00E933CB" w:rsidRDefault="00825B93">
            <w:pPr>
              <w:spacing w:after="0" w:line="259" w:lineRule="auto"/>
              <w:ind w:left="0" w:right="0" w:firstLine="0"/>
              <w:jc w:val="left"/>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2071BEA" w14:textId="77777777" w:rsidR="004A3CD3" w:rsidRDefault="006C0598">
            <w:pPr>
              <w:spacing w:after="0" w:line="259" w:lineRule="auto"/>
              <w:ind w:left="31" w:right="0" w:firstLine="0"/>
              <w:jc w:val="left"/>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tcPr>
          <w:p w14:paraId="05C6A64B" w14:textId="77777777" w:rsidR="004A3CD3" w:rsidRDefault="006C0598">
            <w:pPr>
              <w:spacing w:after="0" w:line="259" w:lineRule="auto"/>
              <w:ind w:left="31" w:right="0" w:firstLine="0"/>
              <w:jc w:val="left"/>
            </w:pPr>
            <w:r>
              <w:rPr>
                <w:b/>
              </w:rPr>
              <w:t xml:space="preserve">Description </w:t>
            </w:r>
          </w:p>
        </w:tc>
      </w:tr>
      <w:tr w:rsidR="00E933CB" w14:paraId="410D2852" w14:textId="77777777">
        <w:trPr>
          <w:trHeight w:val="937"/>
        </w:trPr>
        <w:tc>
          <w:tcPr>
            <w:tcW w:w="674" w:type="dxa"/>
            <w:tcBorders>
              <w:top w:val="single" w:sz="4" w:space="0" w:color="000000"/>
              <w:left w:val="single" w:sz="4" w:space="0" w:color="000000"/>
              <w:bottom w:val="single" w:sz="4" w:space="0" w:color="000000"/>
              <w:right w:val="single" w:sz="4" w:space="0" w:color="000000"/>
            </w:tcBorders>
          </w:tcPr>
          <w:p w14:paraId="0E2EB7CB" w14:textId="77777777" w:rsidR="004A3CD3" w:rsidRDefault="006C0598">
            <w:pPr>
              <w:spacing w:after="0" w:line="259" w:lineRule="auto"/>
              <w:ind w:left="86" w:right="0" w:firstLine="0"/>
              <w:jc w:val="left"/>
            </w:pPr>
            <w:r>
              <w:rPr>
                <w:rFonts w:ascii="Century Gothic" w:eastAsia="Century Gothic" w:hAnsi="Century Gothic" w:cs="Century Gothic"/>
                <w:b/>
                <w:sz w:val="20"/>
              </w:rPr>
              <w:t xml:space="preserve">B.1 </w:t>
            </w:r>
          </w:p>
        </w:tc>
        <w:tc>
          <w:tcPr>
            <w:tcW w:w="1277" w:type="dxa"/>
            <w:tcBorders>
              <w:top w:val="single" w:sz="4" w:space="0" w:color="000000"/>
              <w:left w:val="single" w:sz="4" w:space="0" w:color="000000"/>
              <w:bottom w:val="single" w:sz="4" w:space="0" w:color="000000"/>
              <w:right w:val="single" w:sz="4" w:space="0" w:color="000000"/>
            </w:tcBorders>
          </w:tcPr>
          <w:p w14:paraId="314D9FEB" w14:textId="77777777" w:rsidR="00E933CB" w:rsidRDefault="00825B93">
            <w:pPr>
              <w:spacing w:after="0" w:line="259" w:lineRule="auto"/>
              <w:ind w:left="0" w:right="48" w:firstLine="0"/>
              <w:jc w:val="right"/>
            </w:pPr>
            <w:r>
              <w:t xml:space="preserve"> </w:t>
            </w:r>
          </w:p>
        </w:tc>
        <w:tc>
          <w:tcPr>
            <w:tcW w:w="7230" w:type="dxa"/>
            <w:tcBorders>
              <w:top w:val="single" w:sz="4" w:space="0" w:color="000000"/>
              <w:left w:val="single" w:sz="4" w:space="0" w:color="000000"/>
              <w:bottom w:val="single" w:sz="4" w:space="0" w:color="000000"/>
              <w:right w:val="single" w:sz="4" w:space="0" w:color="000000"/>
            </w:tcBorders>
          </w:tcPr>
          <w:p w14:paraId="09FCC48E" w14:textId="77777777" w:rsidR="004A3CD3" w:rsidRDefault="006C0598">
            <w:pPr>
              <w:spacing w:after="0" w:line="259" w:lineRule="auto"/>
              <w:ind w:left="31" w:right="128" w:firstLine="0"/>
            </w:pPr>
            <w:r>
              <w:t xml:space="preserve">Confidence and scientific probability terminology used by the IPCC (AR4, Working Group I ("WGI"), p. 22 and AR5 Working Group I ("WGI"), p. 36) </w:t>
            </w:r>
          </w:p>
        </w:tc>
      </w:tr>
      <w:tr w:rsidR="00E933CB" w14:paraId="5E0CC13C"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30D09620" w14:textId="77777777" w:rsidR="004A3CD3" w:rsidRDefault="006C0598">
            <w:pPr>
              <w:spacing w:after="0" w:line="259" w:lineRule="auto"/>
              <w:ind w:left="86" w:right="0" w:firstLine="0"/>
              <w:jc w:val="left"/>
            </w:pPr>
            <w:r>
              <w:rPr>
                <w:rFonts w:ascii="Century Gothic" w:eastAsia="Century Gothic" w:hAnsi="Century Gothic" w:cs="Century Gothic"/>
                <w:b/>
                <w:sz w:val="20"/>
              </w:rPr>
              <w:t xml:space="preserve">B.2 </w:t>
            </w:r>
          </w:p>
        </w:tc>
        <w:tc>
          <w:tcPr>
            <w:tcW w:w="1277" w:type="dxa"/>
            <w:tcBorders>
              <w:top w:val="single" w:sz="4" w:space="0" w:color="000000"/>
              <w:left w:val="single" w:sz="4" w:space="0" w:color="000000"/>
              <w:bottom w:val="single" w:sz="4" w:space="0" w:color="000000"/>
              <w:right w:val="single" w:sz="4" w:space="0" w:color="000000"/>
            </w:tcBorders>
          </w:tcPr>
          <w:p w14:paraId="4D1C1647" w14:textId="77777777" w:rsidR="004A3CD3" w:rsidRDefault="006C0598">
            <w:pPr>
              <w:spacing w:after="0" w:line="259" w:lineRule="auto"/>
              <w:ind w:left="0" w:right="97" w:firstLine="0"/>
              <w:jc w:val="right"/>
            </w:pPr>
            <w:r>
              <w:t xml:space="preserve">1990 </w:t>
            </w:r>
          </w:p>
        </w:tc>
        <w:tc>
          <w:tcPr>
            <w:tcW w:w="7230" w:type="dxa"/>
            <w:tcBorders>
              <w:top w:val="single" w:sz="4" w:space="0" w:color="000000"/>
              <w:left w:val="single" w:sz="4" w:space="0" w:color="000000"/>
              <w:bottom w:val="single" w:sz="4" w:space="0" w:color="000000"/>
              <w:right w:val="single" w:sz="4" w:space="0" w:color="000000"/>
            </w:tcBorders>
          </w:tcPr>
          <w:p w14:paraId="498F74AA" w14:textId="77777777" w:rsidR="004A3CD3" w:rsidRDefault="006C0598">
            <w:pPr>
              <w:spacing w:after="19" w:line="259" w:lineRule="auto"/>
              <w:ind w:left="31" w:right="0" w:firstLine="0"/>
              <w:jc w:val="left"/>
            </w:pPr>
            <w:r>
              <w:t xml:space="preserve">The First Assessment Report ('AR1') </w:t>
            </w:r>
          </w:p>
          <w:p w14:paraId="1F7B738E" w14:textId="77777777" w:rsidR="004A3CD3" w:rsidRDefault="006C0598">
            <w:pPr>
              <w:spacing w:after="0" w:line="259" w:lineRule="auto"/>
              <w:ind w:left="31" w:right="0" w:firstLine="0"/>
              <w:jc w:val="left"/>
            </w:pPr>
            <w:r>
              <w:t xml:space="preserve">(IPCC 1990, AR1) </w:t>
            </w:r>
          </w:p>
        </w:tc>
      </w:tr>
      <w:tr w:rsidR="00E933CB" w14:paraId="0BE9ECC8" w14:textId="77777777">
        <w:trPr>
          <w:trHeight w:val="317"/>
        </w:trPr>
        <w:tc>
          <w:tcPr>
            <w:tcW w:w="674" w:type="dxa"/>
            <w:tcBorders>
              <w:top w:val="single" w:sz="4" w:space="0" w:color="000000"/>
              <w:left w:val="single" w:sz="4" w:space="0" w:color="000000"/>
              <w:bottom w:val="single" w:sz="4" w:space="0" w:color="000000"/>
              <w:right w:val="single" w:sz="4" w:space="0" w:color="000000"/>
            </w:tcBorders>
          </w:tcPr>
          <w:p w14:paraId="2A5E12E9" w14:textId="77777777" w:rsidR="004A3CD3" w:rsidRDefault="006C0598">
            <w:pPr>
              <w:spacing w:after="0" w:line="259" w:lineRule="auto"/>
              <w:ind w:left="86" w:right="0" w:firstLine="0"/>
              <w:jc w:val="left"/>
            </w:pPr>
            <w:r>
              <w:rPr>
                <w:rFonts w:ascii="Century Gothic" w:eastAsia="Century Gothic" w:hAnsi="Century Gothic" w:cs="Century Gothic"/>
                <w:b/>
                <w:sz w:val="20"/>
              </w:rPr>
              <w:t xml:space="preserve">B.3 </w:t>
            </w:r>
          </w:p>
        </w:tc>
        <w:tc>
          <w:tcPr>
            <w:tcW w:w="1277" w:type="dxa"/>
            <w:tcBorders>
              <w:top w:val="single" w:sz="4" w:space="0" w:color="000000"/>
              <w:left w:val="single" w:sz="4" w:space="0" w:color="000000"/>
              <w:bottom w:val="single" w:sz="4" w:space="0" w:color="000000"/>
              <w:right w:val="single" w:sz="4" w:space="0" w:color="000000"/>
            </w:tcBorders>
          </w:tcPr>
          <w:p w14:paraId="76082EA3" w14:textId="77777777" w:rsidR="004A3CD3" w:rsidRDefault="006C0598">
            <w:pPr>
              <w:spacing w:after="0" w:line="259" w:lineRule="auto"/>
              <w:ind w:left="0" w:right="97" w:firstLine="0"/>
              <w:jc w:val="right"/>
            </w:pPr>
            <w:r>
              <w:t xml:space="preserve">1998 </w:t>
            </w:r>
          </w:p>
        </w:tc>
        <w:tc>
          <w:tcPr>
            <w:tcW w:w="7230" w:type="dxa"/>
            <w:tcBorders>
              <w:top w:val="single" w:sz="4" w:space="0" w:color="000000"/>
              <w:left w:val="single" w:sz="4" w:space="0" w:color="000000"/>
              <w:bottom w:val="single" w:sz="4" w:space="0" w:color="000000"/>
              <w:right w:val="single" w:sz="4" w:space="0" w:color="000000"/>
            </w:tcBorders>
          </w:tcPr>
          <w:p w14:paraId="32F213AF" w14:textId="77777777" w:rsidR="004A3CD3" w:rsidRDefault="006C0598">
            <w:pPr>
              <w:spacing w:after="0" w:line="259" w:lineRule="auto"/>
              <w:ind w:left="31" w:right="0" w:firstLine="0"/>
              <w:jc w:val="left"/>
            </w:pPr>
            <w:r>
              <w:t xml:space="preserve">Principles governing the work of the IPCC, 01.10.1998 </w:t>
            </w:r>
          </w:p>
        </w:tc>
      </w:tr>
      <w:tr w:rsidR="00E933CB" w14:paraId="5E3CCFE8"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282D5DB8" w14:textId="77777777" w:rsidR="004A3CD3" w:rsidRDefault="006C0598">
            <w:pPr>
              <w:spacing w:after="0" w:line="259" w:lineRule="auto"/>
              <w:ind w:left="86" w:right="0" w:firstLine="0"/>
              <w:jc w:val="left"/>
            </w:pPr>
            <w:r>
              <w:rPr>
                <w:rFonts w:ascii="Century Gothic" w:eastAsia="Century Gothic" w:hAnsi="Century Gothic" w:cs="Century Gothic"/>
                <w:b/>
                <w:sz w:val="20"/>
              </w:rPr>
              <w:t xml:space="preserve">B.4 </w:t>
            </w:r>
          </w:p>
        </w:tc>
        <w:tc>
          <w:tcPr>
            <w:tcW w:w="1277" w:type="dxa"/>
            <w:tcBorders>
              <w:top w:val="single" w:sz="4" w:space="0" w:color="000000"/>
              <w:left w:val="single" w:sz="4" w:space="0" w:color="000000"/>
              <w:bottom w:val="single" w:sz="4" w:space="0" w:color="000000"/>
              <w:right w:val="single" w:sz="4" w:space="0" w:color="000000"/>
            </w:tcBorders>
          </w:tcPr>
          <w:p w14:paraId="6F7123FF" w14:textId="77777777" w:rsidR="004A3CD3" w:rsidRDefault="006C0598">
            <w:pPr>
              <w:spacing w:after="0" w:line="259" w:lineRule="auto"/>
              <w:ind w:left="0" w:right="97" w:firstLine="0"/>
              <w:jc w:val="right"/>
            </w:pPr>
            <w:r>
              <w:t xml:space="preserve">2007 </w:t>
            </w:r>
          </w:p>
        </w:tc>
        <w:tc>
          <w:tcPr>
            <w:tcW w:w="7230" w:type="dxa"/>
            <w:tcBorders>
              <w:top w:val="single" w:sz="4" w:space="0" w:color="000000"/>
              <w:left w:val="single" w:sz="4" w:space="0" w:color="000000"/>
              <w:bottom w:val="single" w:sz="4" w:space="0" w:color="000000"/>
              <w:right w:val="single" w:sz="4" w:space="0" w:color="000000"/>
            </w:tcBorders>
          </w:tcPr>
          <w:p w14:paraId="627EEAC4" w14:textId="77777777" w:rsidR="004A3CD3" w:rsidRDefault="006C0598">
            <w:pPr>
              <w:spacing w:after="16" w:line="259" w:lineRule="auto"/>
              <w:ind w:left="31" w:right="0" w:firstLine="0"/>
              <w:jc w:val="left"/>
            </w:pPr>
            <w:r>
              <w:t xml:space="preserve">The Fourth Assessment Report ('AR4') - Working Group 1 (update 2009) </w:t>
            </w:r>
          </w:p>
          <w:p w14:paraId="3A01483B" w14:textId="77777777" w:rsidR="004A3CD3" w:rsidRDefault="006C0598">
            <w:pPr>
              <w:spacing w:after="0" w:line="259" w:lineRule="auto"/>
              <w:ind w:left="31" w:right="0" w:firstLine="0"/>
              <w:jc w:val="left"/>
            </w:pPr>
            <w:r>
              <w:t xml:space="preserve">(IPCC 2007, AR4 WGI) </w:t>
            </w:r>
          </w:p>
        </w:tc>
      </w:tr>
      <w:tr w:rsidR="00E933CB" w14:paraId="64E5D7A7"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5E00D444" w14:textId="77777777" w:rsidR="004A3CD3" w:rsidRDefault="006C0598">
            <w:pPr>
              <w:spacing w:after="0" w:line="259" w:lineRule="auto"/>
              <w:ind w:left="86" w:right="0" w:firstLine="0"/>
              <w:jc w:val="left"/>
            </w:pPr>
            <w:r>
              <w:rPr>
                <w:rFonts w:ascii="Century Gothic" w:eastAsia="Century Gothic" w:hAnsi="Century Gothic" w:cs="Century Gothic"/>
                <w:b/>
                <w:sz w:val="20"/>
              </w:rPr>
              <w:t xml:space="preserve">B.5 </w:t>
            </w:r>
          </w:p>
        </w:tc>
        <w:tc>
          <w:tcPr>
            <w:tcW w:w="1277" w:type="dxa"/>
            <w:tcBorders>
              <w:top w:val="single" w:sz="4" w:space="0" w:color="000000"/>
              <w:left w:val="single" w:sz="4" w:space="0" w:color="000000"/>
              <w:bottom w:val="single" w:sz="4" w:space="0" w:color="000000"/>
              <w:right w:val="single" w:sz="4" w:space="0" w:color="000000"/>
            </w:tcBorders>
          </w:tcPr>
          <w:p w14:paraId="60DC1E80" w14:textId="77777777" w:rsidR="004A3CD3" w:rsidRDefault="006C0598">
            <w:pPr>
              <w:spacing w:after="0" w:line="259" w:lineRule="auto"/>
              <w:ind w:left="0" w:right="97" w:firstLine="0"/>
              <w:jc w:val="right"/>
            </w:pPr>
            <w:r>
              <w:t xml:space="preserve">2007 </w:t>
            </w:r>
          </w:p>
        </w:tc>
        <w:tc>
          <w:tcPr>
            <w:tcW w:w="7230" w:type="dxa"/>
            <w:tcBorders>
              <w:top w:val="single" w:sz="4" w:space="0" w:color="000000"/>
              <w:left w:val="single" w:sz="4" w:space="0" w:color="000000"/>
              <w:bottom w:val="single" w:sz="4" w:space="0" w:color="000000"/>
              <w:right w:val="single" w:sz="4" w:space="0" w:color="000000"/>
            </w:tcBorders>
          </w:tcPr>
          <w:p w14:paraId="778B009E" w14:textId="77777777" w:rsidR="004A3CD3" w:rsidRDefault="006C0598">
            <w:pPr>
              <w:spacing w:after="0" w:line="276" w:lineRule="auto"/>
              <w:ind w:left="31" w:right="0" w:firstLine="0"/>
            </w:pPr>
            <w:r>
              <w:t xml:space="preserve">The Fourth Assessment Report ('AR4') - Working Group 1 - Summary for Decision Makers - (update 2009) </w:t>
            </w:r>
          </w:p>
          <w:p w14:paraId="2AA3B1B9" w14:textId="77777777" w:rsidR="004A3CD3" w:rsidRDefault="006C0598">
            <w:pPr>
              <w:spacing w:after="0" w:line="259" w:lineRule="auto"/>
              <w:ind w:left="31" w:right="0" w:firstLine="0"/>
              <w:jc w:val="left"/>
            </w:pPr>
            <w:r>
              <w:t xml:space="preserve">(IPCC 2007, AR4 WGI, SPM) </w:t>
            </w:r>
          </w:p>
        </w:tc>
      </w:tr>
      <w:tr w:rsidR="00E933CB" w14:paraId="3E1FEA98"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608F0C84" w14:textId="77777777" w:rsidR="004A3CD3" w:rsidRDefault="006C0598">
            <w:pPr>
              <w:spacing w:after="0" w:line="259" w:lineRule="auto"/>
              <w:ind w:left="86" w:right="0" w:firstLine="0"/>
              <w:jc w:val="left"/>
            </w:pPr>
            <w:r>
              <w:rPr>
                <w:rFonts w:ascii="Century Gothic" w:eastAsia="Century Gothic" w:hAnsi="Century Gothic" w:cs="Century Gothic"/>
                <w:b/>
                <w:sz w:val="20"/>
              </w:rPr>
              <w:t xml:space="preserve">B.6 </w:t>
            </w:r>
          </w:p>
        </w:tc>
        <w:tc>
          <w:tcPr>
            <w:tcW w:w="1277" w:type="dxa"/>
            <w:tcBorders>
              <w:top w:val="single" w:sz="4" w:space="0" w:color="000000"/>
              <w:left w:val="single" w:sz="4" w:space="0" w:color="000000"/>
              <w:bottom w:val="single" w:sz="4" w:space="0" w:color="000000"/>
              <w:right w:val="single" w:sz="4" w:space="0" w:color="000000"/>
            </w:tcBorders>
          </w:tcPr>
          <w:p w14:paraId="6ADFFE8A" w14:textId="77777777" w:rsidR="004A3CD3" w:rsidRDefault="006C0598">
            <w:pPr>
              <w:spacing w:after="0" w:line="259" w:lineRule="auto"/>
              <w:ind w:left="0" w:right="97" w:firstLine="0"/>
              <w:jc w:val="right"/>
            </w:pPr>
            <w:r>
              <w:t xml:space="preserve">2007 </w:t>
            </w:r>
          </w:p>
        </w:tc>
        <w:tc>
          <w:tcPr>
            <w:tcW w:w="7230" w:type="dxa"/>
            <w:tcBorders>
              <w:top w:val="single" w:sz="4" w:space="0" w:color="000000"/>
              <w:left w:val="single" w:sz="4" w:space="0" w:color="000000"/>
              <w:bottom w:val="single" w:sz="4" w:space="0" w:color="000000"/>
              <w:right w:val="single" w:sz="4" w:space="0" w:color="000000"/>
            </w:tcBorders>
          </w:tcPr>
          <w:p w14:paraId="2E34E520" w14:textId="77777777" w:rsidR="004A3CD3" w:rsidRDefault="006C0598">
            <w:pPr>
              <w:spacing w:after="19" w:line="259" w:lineRule="auto"/>
              <w:ind w:left="31" w:right="0" w:firstLine="0"/>
              <w:jc w:val="left"/>
            </w:pPr>
            <w:r>
              <w:t xml:space="preserve">The Fourth Assessment Report ('AR4') - Working Group 2 (update 2009) </w:t>
            </w:r>
          </w:p>
          <w:p w14:paraId="3E46D32B" w14:textId="77777777" w:rsidR="004A3CD3" w:rsidRDefault="006C0598">
            <w:pPr>
              <w:spacing w:after="0" w:line="259" w:lineRule="auto"/>
              <w:ind w:left="31" w:right="0" w:firstLine="0"/>
              <w:jc w:val="left"/>
            </w:pPr>
            <w:r>
              <w:t xml:space="preserve">(IPCC 2007, AR4 WGII) </w:t>
            </w:r>
          </w:p>
        </w:tc>
      </w:tr>
      <w:tr w:rsidR="00E933CB" w14:paraId="6740A312"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6977981E" w14:textId="77777777" w:rsidR="004A3CD3" w:rsidRDefault="006C0598">
            <w:pPr>
              <w:spacing w:after="0" w:line="259" w:lineRule="auto"/>
              <w:ind w:left="86" w:right="0" w:firstLine="0"/>
              <w:jc w:val="left"/>
            </w:pPr>
            <w:r>
              <w:rPr>
                <w:rFonts w:ascii="Century Gothic" w:eastAsia="Century Gothic" w:hAnsi="Century Gothic" w:cs="Century Gothic"/>
                <w:b/>
                <w:sz w:val="20"/>
              </w:rPr>
              <w:t xml:space="preserve">B.7 </w:t>
            </w:r>
          </w:p>
        </w:tc>
        <w:tc>
          <w:tcPr>
            <w:tcW w:w="1277" w:type="dxa"/>
            <w:tcBorders>
              <w:top w:val="single" w:sz="4" w:space="0" w:color="000000"/>
              <w:left w:val="single" w:sz="4" w:space="0" w:color="000000"/>
              <w:bottom w:val="single" w:sz="4" w:space="0" w:color="000000"/>
              <w:right w:val="single" w:sz="4" w:space="0" w:color="000000"/>
            </w:tcBorders>
          </w:tcPr>
          <w:p w14:paraId="2C139B01" w14:textId="77777777" w:rsidR="004A3CD3" w:rsidRDefault="006C0598">
            <w:pPr>
              <w:spacing w:after="0" w:line="259" w:lineRule="auto"/>
              <w:ind w:left="0" w:right="99" w:firstLine="0"/>
              <w:jc w:val="right"/>
            </w:pPr>
            <w:r>
              <w:t xml:space="preserve">2007  </w:t>
            </w:r>
          </w:p>
        </w:tc>
        <w:tc>
          <w:tcPr>
            <w:tcW w:w="7230" w:type="dxa"/>
            <w:tcBorders>
              <w:top w:val="single" w:sz="4" w:space="0" w:color="000000"/>
              <w:left w:val="single" w:sz="4" w:space="0" w:color="000000"/>
              <w:bottom w:val="single" w:sz="4" w:space="0" w:color="000000"/>
              <w:right w:val="single" w:sz="4" w:space="0" w:color="000000"/>
            </w:tcBorders>
          </w:tcPr>
          <w:p w14:paraId="072E429E" w14:textId="77777777" w:rsidR="004A3CD3" w:rsidRDefault="006C0598">
            <w:pPr>
              <w:spacing w:after="0" w:line="276" w:lineRule="auto"/>
              <w:ind w:left="31" w:right="0" w:firstLine="0"/>
            </w:pPr>
            <w:r>
              <w:t xml:space="preserve">The Fourth Assessment Report ('AR4') - Working Group 2 - Summary for Policymakers (update 2009) </w:t>
            </w:r>
          </w:p>
          <w:p w14:paraId="14BE654B" w14:textId="77777777" w:rsidR="004A3CD3" w:rsidRDefault="006C0598">
            <w:pPr>
              <w:spacing w:after="0" w:line="259" w:lineRule="auto"/>
              <w:ind w:left="31" w:right="0" w:firstLine="0"/>
              <w:jc w:val="left"/>
            </w:pPr>
            <w:r>
              <w:t xml:space="preserve">(IPCC 2007, AR4 WGII, SPM) </w:t>
            </w:r>
          </w:p>
        </w:tc>
      </w:tr>
      <w:tr w:rsidR="00E933CB" w14:paraId="66E43D97"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35BCC58D" w14:textId="77777777" w:rsidR="004A3CD3" w:rsidRDefault="006C0598">
            <w:pPr>
              <w:spacing w:after="0" w:line="259" w:lineRule="auto"/>
              <w:ind w:left="86" w:right="0" w:firstLine="0"/>
              <w:jc w:val="left"/>
            </w:pPr>
            <w:r>
              <w:rPr>
                <w:rFonts w:ascii="Century Gothic" w:eastAsia="Century Gothic" w:hAnsi="Century Gothic" w:cs="Century Gothic"/>
                <w:b/>
                <w:sz w:val="20"/>
              </w:rPr>
              <w:t xml:space="preserve">B.8 </w:t>
            </w:r>
          </w:p>
        </w:tc>
        <w:tc>
          <w:tcPr>
            <w:tcW w:w="1277" w:type="dxa"/>
            <w:tcBorders>
              <w:top w:val="single" w:sz="4" w:space="0" w:color="000000"/>
              <w:left w:val="single" w:sz="4" w:space="0" w:color="000000"/>
              <w:bottom w:val="single" w:sz="4" w:space="0" w:color="000000"/>
              <w:right w:val="single" w:sz="4" w:space="0" w:color="000000"/>
            </w:tcBorders>
          </w:tcPr>
          <w:p w14:paraId="25F38E29" w14:textId="77777777" w:rsidR="004A3CD3" w:rsidRDefault="006C0598">
            <w:pPr>
              <w:spacing w:after="0" w:line="259" w:lineRule="auto"/>
              <w:ind w:left="0" w:right="97" w:firstLine="0"/>
              <w:jc w:val="right"/>
            </w:pPr>
            <w:r>
              <w:t xml:space="preserve">2007 </w:t>
            </w:r>
          </w:p>
        </w:tc>
        <w:tc>
          <w:tcPr>
            <w:tcW w:w="7230" w:type="dxa"/>
            <w:tcBorders>
              <w:top w:val="single" w:sz="4" w:space="0" w:color="000000"/>
              <w:left w:val="single" w:sz="4" w:space="0" w:color="000000"/>
              <w:bottom w:val="single" w:sz="4" w:space="0" w:color="000000"/>
              <w:right w:val="single" w:sz="4" w:space="0" w:color="000000"/>
            </w:tcBorders>
          </w:tcPr>
          <w:p w14:paraId="0BA18FDE" w14:textId="77777777" w:rsidR="004A3CD3" w:rsidRDefault="006C0598">
            <w:pPr>
              <w:spacing w:after="19" w:line="259" w:lineRule="auto"/>
              <w:ind w:left="31" w:right="0" w:firstLine="0"/>
              <w:jc w:val="left"/>
            </w:pPr>
            <w:r>
              <w:t xml:space="preserve">The Fourth Assessment Report ('AR4') - Working Group 3 (update 2009) </w:t>
            </w:r>
          </w:p>
          <w:p w14:paraId="5018EA60" w14:textId="77777777" w:rsidR="004A3CD3" w:rsidRDefault="006C0598">
            <w:pPr>
              <w:spacing w:after="0" w:line="259" w:lineRule="auto"/>
              <w:ind w:left="31" w:right="0" w:firstLine="0"/>
              <w:jc w:val="left"/>
            </w:pPr>
            <w:r>
              <w:t xml:space="preserve">(IPCC 2007, AR4 WGIII) </w:t>
            </w:r>
          </w:p>
        </w:tc>
      </w:tr>
      <w:tr w:rsidR="00E933CB" w14:paraId="161C7CD4" w14:textId="77777777">
        <w:trPr>
          <w:trHeight w:val="938"/>
        </w:trPr>
        <w:tc>
          <w:tcPr>
            <w:tcW w:w="674" w:type="dxa"/>
            <w:tcBorders>
              <w:top w:val="single" w:sz="4" w:space="0" w:color="000000"/>
              <w:left w:val="single" w:sz="4" w:space="0" w:color="000000"/>
              <w:bottom w:val="single" w:sz="4" w:space="0" w:color="000000"/>
              <w:right w:val="single" w:sz="4" w:space="0" w:color="000000"/>
            </w:tcBorders>
          </w:tcPr>
          <w:p w14:paraId="5D1BA617" w14:textId="77777777" w:rsidR="004A3CD3" w:rsidRDefault="006C0598">
            <w:pPr>
              <w:spacing w:after="0" w:line="259" w:lineRule="auto"/>
              <w:ind w:left="86" w:right="0" w:firstLine="0"/>
              <w:jc w:val="left"/>
            </w:pPr>
            <w:r>
              <w:rPr>
                <w:rFonts w:ascii="Century Gothic" w:eastAsia="Century Gothic" w:hAnsi="Century Gothic" w:cs="Century Gothic"/>
                <w:b/>
                <w:sz w:val="20"/>
              </w:rPr>
              <w:t xml:space="preserve">B.9 </w:t>
            </w:r>
          </w:p>
        </w:tc>
        <w:tc>
          <w:tcPr>
            <w:tcW w:w="1277" w:type="dxa"/>
            <w:tcBorders>
              <w:top w:val="single" w:sz="4" w:space="0" w:color="000000"/>
              <w:left w:val="single" w:sz="4" w:space="0" w:color="000000"/>
              <w:bottom w:val="single" w:sz="4" w:space="0" w:color="000000"/>
              <w:right w:val="single" w:sz="4" w:space="0" w:color="000000"/>
            </w:tcBorders>
          </w:tcPr>
          <w:p w14:paraId="08BFB134" w14:textId="77777777" w:rsidR="004A3CD3" w:rsidRDefault="006C0598">
            <w:pPr>
              <w:spacing w:after="0" w:line="259" w:lineRule="auto"/>
              <w:ind w:left="0" w:right="97" w:firstLine="0"/>
              <w:jc w:val="right"/>
            </w:pPr>
            <w:r>
              <w:t xml:space="preserve">2007 </w:t>
            </w:r>
          </w:p>
        </w:tc>
        <w:tc>
          <w:tcPr>
            <w:tcW w:w="7230" w:type="dxa"/>
            <w:tcBorders>
              <w:top w:val="single" w:sz="4" w:space="0" w:color="000000"/>
              <w:left w:val="single" w:sz="4" w:space="0" w:color="000000"/>
              <w:bottom w:val="single" w:sz="4" w:space="0" w:color="000000"/>
              <w:right w:val="single" w:sz="4" w:space="0" w:color="000000"/>
            </w:tcBorders>
          </w:tcPr>
          <w:p w14:paraId="3CFDBA22" w14:textId="77777777" w:rsidR="004A3CD3" w:rsidRDefault="006C0598">
            <w:pPr>
              <w:spacing w:after="2" w:line="274" w:lineRule="auto"/>
              <w:ind w:left="31" w:right="0" w:firstLine="0"/>
            </w:pPr>
            <w:r>
              <w:t xml:space="preserve">The Fourth Assessment Report ('AR4') - Working Group 3 - Summary for Policymakers (update 2009) </w:t>
            </w:r>
          </w:p>
          <w:p w14:paraId="6CDA8490" w14:textId="77777777" w:rsidR="004A3CD3" w:rsidRDefault="006C0598">
            <w:pPr>
              <w:spacing w:after="0" w:line="259" w:lineRule="auto"/>
              <w:ind w:left="31" w:right="0" w:firstLine="0"/>
              <w:jc w:val="left"/>
            </w:pPr>
            <w:r>
              <w:t xml:space="preserve">(IPCC 2007, AR4 WGIII, SPM) </w:t>
            </w:r>
          </w:p>
        </w:tc>
      </w:tr>
      <w:tr w:rsidR="00E933CB" w14:paraId="562331D6"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5DED95E0" w14:textId="77777777" w:rsidR="004A3CD3" w:rsidRDefault="006C0598">
            <w:pPr>
              <w:spacing w:after="0" w:line="259" w:lineRule="auto"/>
              <w:ind w:left="31" w:right="0" w:firstLine="0"/>
              <w:jc w:val="left"/>
            </w:pPr>
            <w:r>
              <w:rPr>
                <w:rFonts w:ascii="Century Gothic" w:eastAsia="Century Gothic" w:hAnsi="Century Gothic" w:cs="Century Gothic"/>
                <w:b/>
                <w:sz w:val="20"/>
              </w:rPr>
              <w:t xml:space="preserve">B.10 </w:t>
            </w:r>
          </w:p>
        </w:tc>
        <w:tc>
          <w:tcPr>
            <w:tcW w:w="1277" w:type="dxa"/>
            <w:tcBorders>
              <w:top w:val="single" w:sz="4" w:space="0" w:color="000000"/>
              <w:left w:val="single" w:sz="4" w:space="0" w:color="000000"/>
              <w:bottom w:val="single" w:sz="4" w:space="0" w:color="000000"/>
              <w:right w:val="single" w:sz="4" w:space="0" w:color="000000"/>
            </w:tcBorders>
          </w:tcPr>
          <w:p w14:paraId="7E9B8970" w14:textId="77777777" w:rsidR="004A3CD3" w:rsidRDefault="006C0598">
            <w:pPr>
              <w:spacing w:after="0" w:line="259" w:lineRule="auto"/>
              <w:ind w:left="0" w:right="97" w:firstLine="0"/>
              <w:jc w:val="right"/>
            </w:pPr>
            <w:r>
              <w:t xml:space="preserve">2007 </w:t>
            </w:r>
          </w:p>
        </w:tc>
        <w:tc>
          <w:tcPr>
            <w:tcW w:w="7230" w:type="dxa"/>
            <w:tcBorders>
              <w:top w:val="single" w:sz="4" w:space="0" w:color="000000"/>
              <w:left w:val="single" w:sz="4" w:space="0" w:color="000000"/>
              <w:bottom w:val="single" w:sz="4" w:space="0" w:color="000000"/>
              <w:right w:val="single" w:sz="4" w:space="0" w:color="000000"/>
            </w:tcBorders>
          </w:tcPr>
          <w:p w14:paraId="2FF49070" w14:textId="77777777" w:rsidR="004A3CD3" w:rsidRDefault="006C0598">
            <w:pPr>
              <w:spacing w:after="19" w:line="259" w:lineRule="auto"/>
              <w:ind w:left="31" w:right="0" w:firstLine="0"/>
              <w:jc w:val="left"/>
            </w:pPr>
            <w:r>
              <w:t xml:space="preserve">The Fourth Evaluation Report ('AR4') - Synthesis Report (update </w:t>
            </w:r>
          </w:p>
          <w:p w14:paraId="5455F12D" w14:textId="77777777" w:rsidR="004A3CD3" w:rsidRDefault="006C0598">
            <w:pPr>
              <w:spacing w:after="16" w:line="259" w:lineRule="auto"/>
              <w:ind w:left="31" w:right="0" w:firstLine="0"/>
              <w:jc w:val="left"/>
            </w:pPr>
            <w:r>
              <w:t xml:space="preserve">2009) </w:t>
            </w:r>
          </w:p>
          <w:p w14:paraId="0012390C" w14:textId="77777777" w:rsidR="004A3CD3" w:rsidRDefault="006C0598">
            <w:pPr>
              <w:spacing w:after="0" w:line="259" w:lineRule="auto"/>
              <w:ind w:left="31" w:right="0" w:firstLine="0"/>
              <w:jc w:val="left"/>
            </w:pPr>
            <w:r>
              <w:t xml:space="preserve">(IPCC 2007, AR4 SYR) </w:t>
            </w:r>
          </w:p>
        </w:tc>
      </w:tr>
      <w:tr w:rsidR="00E933CB" w14:paraId="3E7B97C5" w14:textId="77777777">
        <w:trPr>
          <w:trHeight w:val="937"/>
        </w:trPr>
        <w:tc>
          <w:tcPr>
            <w:tcW w:w="674" w:type="dxa"/>
            <w:tcBorders>
              <w:top w:val="single" w:sz="4" w:space="0" w:color="000000"/>
              <w:left w:val="single" w:sz="4" w:space="0" w:color="000000"/>
              <w:bottom w:val="single" w:sz="4" w:space="0" w:color="000000"/>
              <w:right w:val="single" w:sz="4" w:space="0" w:color="000000"/>
            </w:tcBorders>
          </w:tcPr>
          <w:p w14:paraId="1F3BCC97" w14:textId="77777777" w:rsidR="004A3CD3" w:rsidRDefault="006C0598">
            <w:pPr>
              <w:spacing w:after="0" w:line="259" w:lineRule="auto"/>
              <w:ind w:left="31" w:right="0" w:firstLine="0"/>
              <w:jc w:val="left"/>
            </w:pPr>
            <w:r>
              <w:rPr>
                <w:rFonts w:ascii="Century Gothic" w:eastAsia="Century Gothic" w:hAnsi="Century Gothic" w:cs="Century Gothic"/>
                <w:b/>
                <w:sz w:val="20"/>
              </w:rPr>
              <w:t xml:space="preserve">B.11 </w:t>
            </w:r>
          </w:p>
        </w:tc>
        <w:tc>
          <w:tcPr>
            <w:tcW w:w="1277" w:type="dxa"/>
            <w:tcBorders>
              <w:top w:val="single" w:sz="4" w:space="0" w:color="000000"/>
              <w:left w:val="single" w:sz="4" w:space="0" w:color="000000"/>
              <w:bottom w:val="single" w:sz="4" w:space="0" w:color="000000"/>
              <w:right w:val="single" w:sz="4" w:space="0" w:color="000000"/>
            </w:tcBorders>
          </w:tcPr>
          <w:p w14:paraId="542488E8" w14:textId="77777777" w:rsidR="004A3CD3" w:rsidRDefault="006C0598">
            <w:pPr>
              <w:spacing w:after="0" w:line="259" w:lineRule="auto"/>
              <w:ind w:left="0" w:right="97" w:firstLine="0"/>
              <w:jc w:val="right"/>
            </w:pPr>
            <w:r>
              <w:t xml:space="preserve">2007 </w:t>
            </w:r>
          </w:p>
        </w:tc>
        <w:tc>
          <w:tcPr>
            <w:tcW w:w="7230" w:type="dxa"/>
            <w:tcBorders>
              <w:top w:val="single" w:sz="4" w:space="0" w:color="000000"/>
              <w:left w:val="single" w:sz="4" w:space="0" w:color="000000"/>
              <w:bottom w:val="single" w:sz="4" w:space="0" w:color="000000"/>
              <w:right w:val="single" w:sz="4" w:space="0" w:color="000000"/>
            </w:tcBorders>
          </w:tcPr>
          <w:p w14:paraId="18A51422" w14:textId="77777777" w:rsidR="004A3CD3" w:rsidRDefault="006C0598">
            <w:pPr>
              <w:spacing w:after="0" w:line="276" w:lineRule="auto"/>
              <w:ind w:left="31" w:right="0" w:firstLine="0"/>
            </w:pPr>
            <w:r>
              <w:t xml:space="preserve">The Fourth Assessment Report ('AR4') - Synthesis Report - Summary for Decision Makers (update 2009) </w:t>
            </w:r>
          </w:p>
          <w:p w14:paraId="10022CC1" w14:textId="77777777" w:rsidR="004A3CD3" w:rsidRDefault="006C0598">
            <w:pPr>
              <w:spacing w:after="0" w:line="259" w:lineRule="auto"/>
              <w:ind w:left="31" w:right="0" w:firstLine="0"/>
              <w:jc w:val="left"/>
            </w:pPr>
            <w:r>
              <w:t xml:space="preserve">(IPCC 2007, AR4 SYR, SPM)  </w:t>
            </w:r>
          </w:p>
        </w:tc>
      </w:tr>
      <w:tr w:rsidR="00E933CB" w14:paraId="732D2E27"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267A2820" w14:textId="77777777" w:rsidR="004A3CD3" w:rsidRDefault="006C0598">
            <w:pPr>
              <w:spacing w:after="0" w:line="259" w:lineRule="auto"/>
              <w:ind w:left="31" w:right="0" w:firstLine="0"/>
              <w:jc w:val="left"/>
            </w:pPr>
            <w:r>
              <w:rPr>
                <w:rFonts w:ascii="Century Gothic" w:eastAsia="Century Gothic" w:hAnsi="Century Gothic" w:cs="Century Gothic"/>
                <w:b/>
                <w:sz w:val="20"/>
              </w:rPr>
              <w:t xml:space="preserve">B.12 </w:t>
            </w:r>
          </w:p>
        </w:tc>
        <w:tc>
          <w:tcPr>
            <w:tcW w:w="1277" w:type="dxa"/>
            <w:tcBorders>
              <w:top w:val="single" w:sz="4" w:space="0" w:color="000000"/>
              <w:left w:val="single" w:sz="4" w:space="0" w:color="000000"/>
              <w:bottom w:val="single" w:sz="4" w:space="0" w:color="000000"/>
              <w:right w:val="single" w:sz="4" w:space="0" w:color="000000"/>
            </w:tcBorders>
          </w:tcPr>
          <w:p w14:paraId="37621902" w14:textId="77777777" w:rsidR="004A3CD3" w:rsidRDefault="006C0598">
            <w:pPr>
              <w:spacing w:after="0" w:line="259" w:lineRule="auto"/>
              <w:ind w:left="0" w:right="97" w:firstLine="0"/>
              <w:jc w:val="right"/>
            </w:pPr>
            <w:r>
              <w:t xml:space="preserve">2010 </w:t>
            </w:r>
          </w:p>
        </w:tc>
        <w:tc>
          <w:tcPr>
            <w:tcW w:w="7230" w:type="dxa"/>
            <w:tcBorders>
              <w:top w:val="single" w:sz="4" w:space="0" w:color="000000"/>
              <w:left w:val="single" w:sz="4" w:space="0" w:color="000000"/>
              <w:bottom w:val="single" w:sz="4" w:space="0" w:color="000000"/>
              <w:right w:val="single" w:sz="4" w:space="0" w:color="000000"/>
            </w:tcBorders>
          </w:tcPr>
          <w:p w14:paraId="49664335" w14:textId="77777777" w:rsidR="004A3CD3" w:rsidRDefault="006C0598">
            <w:pPr>
              <w:spacing w:after="0" w:line="259" w:lineRule="auto"/>
              <w:ind w:left="31" w:right="127" w:firstLine="0"/>
            </w:pPr>
            <w:r>
              <w:t xml:space="preserve">MASTANDREA (M.D.) </w:t>
            </w:r>
            <w:r>
              <w:rPr>
                <w:i/>
              </w:rPr>
              <w:t>et al</w:t>
            </w:r>
            <w:r>
              <w:t xml:space="preserve">, </w:t>
            </w:r>
            <w:r>
              <w:rPr>
                <w:i/>
              </w:rPr>
              <w:t>Guidance Note for Lead Authors of the IPCC Fifth Assessment Report on Consistent Treatment of Uncertainties</w:t>
            </w:r>
            <w:r>
              <w:t xml:space="preserve">, Geneva, Intergovernmental Panel on Climate Change, 2010. </w:t>
            </w:r>
          </w:p>
        </w:tc>
      </w:tr>
      <w:tr w:rsidR="00E933CB" w14:paraId="731A895C"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27508F92" w14:textId="77777777" w:rsidR="004A3CD3" w:rsidRDefault="006C0598">
            <w:pPr>
              <w:spacing w:after="0" w:line="259" w:lineRule="auto"/>
              <w:ind w:left="31" w:right="0" w:firstLine="0"/>
              <w:jc w:val="left"/>
            </w:pPr>
            <w:r>
              <w:rPr>
                <w:rFonts w:ascii="Century Gothic" w:eastAsia="Century Gothic" w:hAnsi="Century Gothic" w:cs="Century Gothic"/>
                <w:b/>
                <w:sz w:val="20"/>
              </w:rPr>
              <w:t xml:space="preserve">B.13 </w:t>
            </w:r>
          </w:p>
        </w:tc>
        <w:tc>
          <w:tcPr>
            <w:tcW w:w="1277" w:type="dxa"/>
            <w:tcBorders>
              <w:top w:val="single" w:sz="4" w:space="0" w:color="000000"/>
              <w:left w:val="single" w:sz="4" w:space="0" w:color="000000"/>
              <w:bottom w:val="single" w:sz="4" w:space="0" w:color="000000"/>
              <w:right w:val="single" w:sz="4" w:space="0" w:color="000000"/>
            </w:tcBorders>
          </w:tcPr>
          <w:p w14:paraId="58A0A230" w14:textId="77777777" w:rsidR="004A3CD3" w:rsidRDefault="006C0598">
            <w:pPr>
              <w:spacing w:after="0" w:line="259" w:lineRule="auto"/>
              <w:ind w:left="0" w:right="97" w:firstLine="0"/>
              <w:jc w:val="right"/>
            </w:pPr>
            <w:r>
              <w:t xml:space="preserve">2011 </w:t>
            </w:r>
          </w:p>
        </w:tc>
        <w:tc>
          <w:tcPr>
            <w:tcW w:w="7230" w:type="dxa"/>
            <w:tcBorders>
              <w:top w:val="single" w:sz="4" w:space="0" w:color="000000"/>
              <w:left w:val="single" w:sz="4" w:space="0" w:color="000000"/>
              <w:bottom w:val="single" w:sz="4" w:space="0" w:color="000000"/>
              <w:right w:val="single" w:sz="4" w:space="0" w:color="000000"/>
            </w:tcBorders>
          </w:tcPr>
          <w:p w14:paraId="257AF696" w14:textId="77777777" w:rsidR="004A3CD3" w:rsidRDefault="006C0598">
            <w:pPr>
              <w:spacing w:after="16" w:line="259" w:lineRule="auto"/>
              <w:ind w:left="31" w:right="0" w:firstLine="0"/>
              <w:jc w:val="left"/>
            </w:pPr>
            <w:r>
              <w:t xml:space="preserve">Special Report on Renewable Energy, April 2011  </w:t>
            </w:r>
          </w:p>
          <w:p w14:paraId="7952A896" w14:textId="77777777" w:rsidR="004A3CD3" w:rsidRDefault="006C0598">
            <w:pPr>
              <w:spacing w:after="0" w:line="259" w:lineRule="auto"/>
              <w:ind w:left="31" w:right="0" w:firstLine="0"/>
              <w:jc w:val="left"/>
            </w:pPr>
            <w:r>
              <w:t xml:space="preserve">(IPCC 2011, SR Renewable Energy) </w:t>
            </w:r>
          </w:p>
        </w:tc>
      </w:tr>
    </w:tbl>
    <w:p w14:paraId="5C148CD3" w14:textId="77777777" w:rsidR="00E933CB" w:rsidRDefault="00E933CB">
      <w:pPr>
        <w:spacing w:after="0" w:line="259" w:lineRule="auto"/>
        <w:ind w:left="-1097" w:right="547" w:firstLine="0"/>
        <w:jc w:val="left"/>
      </w:pPr>
    </w:p>
    <w:tbl>
      <w:tblPr>
        <w:tblStyle w:val="TableGrid"/>
        <w:tblW w:w="9182" w:type="dxa"/>
        <w:tblInd w:w="468" w:type="dxa"/>
        <w:tblCellMar>
          <w:top w:w="48" w:type="dxa"/>
          <w:left w:w="108" w:type="dxa"/>
          <w:right w:w="44" w:type="dxa"/>
        </w:tblCellMar>
        <w:tblLook w:val="04A0" w:firstRow="1" w:lastRow="0" w:firstColumn="1" w:lastColumn="0" w:noHBand="0" w:noVBand="1"/>
      </w:tblPr>
      <w:tblGrid>
        <w:gridCol w:w="674"/>
        <w:gridCol w:w="1277"/>
        <w:gridCol w:w="7231"/>
      </w:tblGrid>
      <w:tr w:rsidR="00E933CB" w14:paraId="02EC27C0"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1B6B64FA"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B.14 </w:t>
            </w:r>
          </w:p>
        </w:tc>
        <w:tc>
          <w:tcPr>
            <w:tcW w:w="1277" w:type="dxa"/>
            <w:tcBorders>
              <w:top w:val="single" w:sz="4" w:space="0" w:color="000000"/>
              <w:left w:val="single" w:sz="4" w:space="0" w:color="000000"/>
              <w:bottom w:val="single" w:sz="4" w:space="0" w:color="000000"/>
              <w:right w:val="single" w:sz="4" w:space="0" w:color="000000"/>
            </w:tcBorders>
          </w:tcPr>
          <w:p w14:paraId="020D9AFF" w14:textId="77777777" w:rsidR="004A3CD3" w:rsidRDefault="006C0598">
            <w:pPr>
              <w:spacing w:after="0" w:line="259" w:lineRule="auto"/>
              <w:ind w:left="0" w:right="97" w:firstLine="0"/>
              <w:jc w:val="right"/>
            </w:pPr>
            <w:r>
              <w:t xml:space="preserve">2011 </w:t>
            </w:r>
          </w:p>
        </w:tc>
        <w:tc>
          <w:tcPr>
            <w:tcW w:w="7230" w:type="dxa"/>
            <w:tcBorders>
              <w:top w:val="single" w:sz="4" w:space="0" w:color="000000"/>
              <w:left w:val="single" w:sz="4" w:space="0" w:color="000000"/>
              <w:bottom w:val="single" w:sz="4" w:space="0" w:color="000000"/>
              <w:right w:val="single" w:sz="4" w:space="0" w:color="000000"/>
            </w:tcBorders>
          </w:tcPr>
          <w:p w14:paraId="5EFFE9BF" w14:textId="77777777" w:rsidR="004A3CD3" w:rsidRDefault="006C0598">
            <w:pPr>
              <w:spacing w:after="0" w:line="276" w:lineRule="auto"/>
              <w:ind w:left="0" w:right="0" w:firstLine="0"/>
            </w:pPr>
            <w:r>
              <w:t xml:space="preserve">Special Report on Renewable Energy, April 2011 - Summary for Policy Makers </w:t>
            </w:r>
          </w:p>
          <w:p w14:paraId="1AB73EAD" w14:textId="77777777" w:rsidR="004A3CD3" w:rsidRDefault="006C0598">
            <w:pPr>
              <w:spacing w:after="0" w:line="259" w:lineRule="auto"/>
              <w:ind w:left="0" w:right="0" w:firstLine="0"/>
              <w:jc w:val="left"/>
            </w:pPr>
            <w:r>
              <w:t xml:space="preserve">(IPCC 2011, SR Renewable Energy, SPM) </w:t>
            </w:r>
          </w:p>
        </w:tc>
      </w:tr>
      <w:tr w:rsidR="00E933CB" w14:paraId="3B925780"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38BDAD5E"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B.15 </w:t>
            </w:r>
          </w:p>
        </w:tc>
        <w:tc>
          <w:tcPr>
            <w:tcW w:w="1277" w:type="dxa"/>
            <w:tcBorders>
              <w:top w:val="single" w:sz="4" w:space="0" w:color="000000"/>
              <w:left w:val="single" w:sz="4" w:space="0" w:color="000000"/>
              <w:bottom w:val="single" w:sz="4" w:space="0" w:color="000000"/>
              <w:right w:val="single" w:sz="4" w:space="0" w:color="000000"/>
            </w:tcBorders>
          </w:tcPr>
          <w:p w14:paraId="5FB0C6F7" w14:textId="77777777" w:rsidR="004A3CD3" w:rsidRDefault="006C0598">
            <w:pPr>
              <w:spacing w:after="0" w:line="259" w:lineRule="auto"/>
              <w:ind w:left="0" w:right="97" w:firstLine="0"/>
              <w:jc w:val="right"/>
            </w:pPr>
            <w:r>
              <w:t xml:space="preserve">2013 </w:t>
            </w:r>
          </w:p>
        </w:tc>
        <w:tc>
          <w:tcPr>
            <w:tcW w:w="7230" w:type="dxa"/>
            <w:tcBorders>
              <w:top w:val="single" w:sz="4" w:space="0" w:color="000000"/>
              <w:left w:val="single" w:sz="4" w:space="0" w:color="000000"/>
              <w:bottom w:val="single" w:sz="4" w:space="0" w:color="000000"/>
              <w:right w:val="single" w:sz="4" w:space="0" w:color="000000"/>
            </w:tcBorders>
          </w:tcPr>
          <w:p w14:paraId="1BCDDE14" w14:textId="77777777" w:rsidR="004A3CD3" w:rsidRDefault="006C0598">
            <w:pPr>
              <w:spacing w:after="16" w:line="259" w:lineRule="auto"/>
              <w:ind w:left="0" w:right="0" w:firstLine="0"/>
              <w:jc w:val="left"/>
            </w:pPr>
            <w:r>
              <w:t xml:space="preserve">The Fifth Assessment Report ('AR5') - Working Group 1 </w:t>
            </w:r>
          </w:p>
          <w:p w14:paraId="43CD71C4" w14:textId="77777777" w:rsidR="004A3CD3" w:rsidRDefault="006C0598">
            <w:pPr>
              <w:spacing w:after="0" w:line="259" w:lineRule="auto"/>
              <w:ind w:left="0" w:right="0" w:firstLine="0"/>
              <w:jc w:val="left"/>
            </w:pPr>
            <w:r>
              <w:t xml:space="preserve">(IPCC 2013, AR5 WG I) </w:t>
            </w:r>
          </w:p>
        </w:tc>
      </w:tr>
      <w:tr w:rsidR="00E933CB" w14:paraId="7437AF78"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7833A788" w14:textId="77777777" w:rsidR="004A3CD3" w:rsidRDefault="006C0598">
            <w:pPr>
              <w:spacing w:after="0" w:line="259" w:lineRule="auto"/>
              <w:ind w:left="0" w:right="0" w:firstLine="0"/>
              <w:jc w:val="left"/>
            </w:pPr>
            <w:r>
              <w:rPr>
                <w:rFonts w:ascii="Century Gothic" w:eastAsia="Century Gothic" w:hAnsi="Century Gothic" w:cs="Century Gothic"/>
                <w:b/>
                <w:sz w:val="20"/>
              </w:rPr>
              <w:lastRenderedPageBreak/>
              <w:t xml:space="preserve">B.16 </w:t>
            </w:r>
          </w:p>
        </w:tc>
        <w:tc>
          <w:tcPr>
            <w:tcW w:w="1277" w:type="dxa"/>
            <w:tcBorders>
              <w:top w:val="single" w:sz="4" w:space="0" w:color="000000"/>
              <w:left w:val="single" w:sz="4" w:space="0" w:color="000000"/>
              <w:bottom w:val="single" w:sz="4" w:space="0" w:color="000000"/>
              <w:right w:val="single" w:sz="4" w:space="0" w:color="000000"/>
            </w:tcBorders>
          </w:tcPr>
          <w:p w14:paraId="70AF0B08" w14:textId="77777777" w:rsidR="004A3CD3" w:rsidRDefault="006C0598">
            <w:pPr>
              <w:spacing w:after="0" w:line="259" w:lineRule="auto"/>
              <w:ind w:left="0" w:right="97" w:firstLine="0"/>
              <w:jc w:val="right"/>
            </w:pPr>
            <w:r>
              <w:t xml:space="preserve">2013 </w:t>
            </w:r>
          </w:p>
        </w:tc>
        <w:tc>
          <w:tcPr>
            <w:tcW w:w="7230" w:type="dxa"/>
            <w:tcBorders>
              <w:top w:val="single" w:sz="4" w:space="0" w:color="000000"/>
              <w:left w:val="single" w:sz="4" w:space="0" w:color="000000"/>
              <w:bottom w:val="single" w:sz="4" w:space="0" w:color="000000"/>
              <w:right w:val="single" w:sz="4" w:space="0" w:color="000000"/>
            </w:tcBorders>
          </w:tcPr>
          <w:p w14:paraId="06473137" w14:textId="77777777" w:rsidR="004A3CD3" w:rsidRDefault="006C0598">
            <w:pPr>
              <w:spacing w:after="0" w:line="259" w:lineRule="auto"/>
              <w:ind w:left="0" w:right="125" w:firstLine="0"/>
            </w:pPr>
            <w:r>
              <w:t xml:space="preserve">The Fifth Assessment Report ('AR5') - Working Group 1 - Summary for Policymakers (IPCC 2013, AR5 WG I, SPM) </w:t>
            </w:r>
          </w:p>
        </w:tc>
      </w:tr>
      <w:tr w:rsidR="00E933CB" w14:paraId="04154E2F"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17537A0B"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B.17 </w:t>
            </w:r>
          </w:p>
        </w:tc>
        <w:tc>
          <w:tcPr>
            <w:tcW w:w="1277" w:type="dxa"/>
            <w:tcBorders>
              <w:top w:val="single" w:sz="4" w:space="0" w:color="000000"/>
              <w:left w:val="single" w:sz="4" w:space="0" w:color="000000"/>
              <w:bottom w:val="single" w:sz="4" w:space="0" w:color="000000"/>
              <w:right w:val="single" w:sz="4" w:space="0" w:color="000000"/>
            </w:tcBorders>
          </w:tcPr>
          <w:p w14:paraId="787DBDC0" w14:textId="77777777" w:rsidR="004A3CD3" w:rsidRDefault="006C0598">
            <w:pPr>
              <w:spacing w:after="0" w:line="259" w:lineRule="auto"/>
              <w:ind w:left="0" w:right="97"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0AE57314" w14:textId="77777777" w:rsidR="004A3CD3" w:rsidRDefault="006C0598">
            <w:pPr>
              <w:spacing w:after="19" w:line="259" w:lineRule="auto"/>
              <w:ind w:left="0" w:right="0" w:firstLine="0"/>
              <w:jc w:val="left"/>
            </w:pPr>
            <w:r>
              <w:t xml:space="preserve">The Fifth Assessment Report ('AR5') - Working Group 2 </w:t>
            </w:r>
          </w:p>
          <w:p w14:paraId="1F7C715A" w14:textId="77777777" w:rsidR="004A3CD3" w:rsidRDefault="006C0598">
            <w:pPr>
              <w:spacing w:after="0" w:line="259" w:lineRule="auto"/>
              <w:ind w:left="0" w:right="0" w:firstLine="0"/>
              <w:jc w:val="left"/>
            </w:pPr>
            <w:r>
              <w:t xml:space="preserve">(IPCC 2014, AR5 WG II) </w:t>
            </w:r>
          </w:p>
        </w:tc>
      </w:tr>
      <w:tr w:rsidR="00E933CB" w14:paraId="3D66EC62" w14:textId="77777777">
        <w:trPr>
          <w:trHeight w:val="937"/>
        </w:trPr>
        <w:tc>
          <w:tcPr>
            <w:tcW w:w="674" w:type="dxa"/>
            <w:tcBorders>
              <w:top w:val="single" w:sz="4" w:space="0" w:color="000000"/>
              <w:left w:val="single" w:sz="4" w:space="0" w:color="000000"/>
              <w:bottom w:val="single" w:sz="4" w:space="0" w:color="000000"/>
              <w:right w:val="single" w:sz="4" w:space="0" w:color="000000"/>
            </w:tcBorders>
          </w:tcPr>
          <w:p w14:paraId="4065154D"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B.18 </w:t>
            </w:r>
          </w:p>
        </w:tc>
        <w:tc>
          <w:tcPr>
            <w:tcW w:w="1277" w:type="dxa"/>
            <w:tcBorders>
              <w:top w:val="single" w:sz="4" w:space="0" w:color="000000"/>
              <w:left w:val="single" w:sz="4" w:space="0" w:color="000000"/>
              <w:bottom w:val="single" w:sz="4" w:space="0" w:color="000000"/>
              <w:right w:val="single" w:sz="4" w:space="0" w:color="000000"/>
            </w:tcBorders>
          </w:tcPr>
          <w:p w14:paraId="00EEF59B" w14:textId="77777777" w:rsidR="004A3CD3" w:rsidRDefault="006C0598">
            <w:pPr>
              <w:spacing w:after="0" w:line="259" w:lineRule="auto"/>
              <w:ind w:left="0" w:right="97"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6A50EB7C" w14:textId="77777777" w:rsidR="004A3CD3" w:rsidRDefault="006C0598">
            <w:pPr>
              <w:spacing w:after="0" w:line="259" w:lineRule="auto"/>
              <w:ind w:left="0" w:right="125" w:firstLine="0"/>
            </w:pPr>
            <w:r>
              <w:t xml:space="preserve">The Fifth Assessment Report ('AR5') - Working Group 2 - Summary for Policymakers (IPCC 2014, AR5 WG II, SPM) </w:t>
            </w:r>
          </w:p>
        </w:tc>
      </w:tr>
      <w:tr w:rsidR="00E933CB" w14:paraId="58BA5A89" w14:textId="77777777">
        <w:trPr>
          <w:trHeight w:val="643"/>
        </w:trPr>
        <w:tc>
          <w:tcPr>
            <w:tcW w:w="674" w:type="dxa"/>
            <w:tcBorders>
              <w:top w:val="single" w:sz="4" w:space="0" w:color="000000"/>
              <w:left w:val="single" w:sz="4" w:space="0" w:color="000000"/>
              <w:bottom w:val="single" w:sz="4" w:space="0" w:color="000000"/>
              <w:right w:val="single" w:sz="4" w:space="0" w:color="000000"/>
            </w:tcBorders>
          </w:tcPr>
          <w:p w14:paraId="308745F7"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B.19 </w:t>
            </w:r>
          </w:p>
        </w:tc>
        <w:tc>
          <w:tcPr>
            <w:tcW w:w="1277" w:type="dxa"/>
            <w:tcBorders>
              <w:top w:val="single" w:sz="4" w:space="0" w:color="000000"/>
              <w:left w:val="single" w:sz="4" w:space="0" w:color="000000"/>
              <w:bottom w:val="single" w:sz="4" w:space="0" w:color="000000"/>
              <w:right w:val="single" w:sz="4" w:space="0" w:color="000000"/>
            </w:tcBorders>
          </w:tcPr>
          <w:p w14:paraId="5093F0D1" w14:textId="77777777" w:rsidR="004A3CD3" w:rsidRDefault="006C0598">
            <w:pPr>
              <w:spacing w:after="0" w:line="259" w:lineRule="auto"/>
              <w:ind w:left="0" w:right="97"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568A64D4" w14:textId="77777777" w:rsidR="004A3CD3" w:rsidRDefault="006C0598">
            <w:pPr>
              <w:spacing w:after="34" w:line="259" w:lineRule="auto"/>
              <w:ind w:left="0" w:right="0" w:firstLine="0"/>
              <w:jc w:val="left"/>
            </w:pPr>
            <w:r>
              <w:t xml:space="preserve">The Fifth Assessment Report ('AR5') - Working Group 3 </w:t>
            </w:r>
          </w:p>
          <w:p w14:paraId="164B103B" w14:textId="77777777" w:rsidR="004A3CD3" w:rsidRDefault="006C0598">
            <w:pPr>
              <w:spacing w:after="0" w:line="259" w:lineRule="auto"/>
              <w:ind w:left="0" w:right="0" w:firstLine="0"/>
              <w:jc w:val="left"/>
            </w:pPr>
            <w:r>
              <w:rPr>
                <w:rFonts w:ascii="Times New Roman" w:eastAsia="Times New Roman" w:hAnsi="Times New Roman" w:cs="Times New Roman"/>
                <w:sz w:val="24"/>
              </w:rPr>
              <w:t>(</w:t>
            </w:r>
            <w:r>
              <w:t xml:space="preserve">IPCC 2014, AR5 WG III) </w:t>
            </w:r>
          </w:p>
        </w:tc>
      </w:tr>
      <w:tr w:rsidR="00E933CB" w14:paraId="13881F77" w14:textId="77777777">
        <w:trPr>
          <w:trHeight w:val="953"/>
        </w:trPr>
        <w:tc>
          <w:tcPr>
            <w:tcW w:w="674" w:type="dxa"/>
            <w:tcBorders>
              <w:top w:val="single" w:sz="4" w:space="0" w:color="000000"/>
              <w:left w:val="single" w:sz="4" w:space="0" w:color="000000"/>
              <w:bottom w:val="single" w:sz="4" w:space="0" w:color="000000"/>
              <w:right w:val="single" w:sz="4" w:space="0" w:color="000000"/>
            </w:tcBorders>
          </w:tcPr>
          <w:p w14:paraId="00300EF8"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B.20 </w:t>
            </w:r>
          </w:p>
        </w:tc>
        <w:tc>
          <w:tcPr>
            <w:tcW w:w="1277" w:type="dxa"/>
            <w:tcBorders>
              <w:top w:val="single" w:sz="4" w:space="0" w:color="000000"/>
              <w:left w:val="single" w:sz="4" w:space="0" w:color="000000"/>
              <w:bottom w:val="single" w:sz="4" w:space="0" w:color="000000"/>
              <w:right w:val="single" w:sz="4" w:space="0" w:color="000000"/>
            </w:tcBorders>
          </w:tcPr>
          <w:p w14:paraId="4EBAE15D" w14:textId="77777777" w:rsidR="004A3CD3" w:rsidRDefault="006C0598">
            <w:pPr>
              <w:spacing w:after="0" w:line="259" w:lineRule="auto"/>
              <w:ind w:left="0" w:right="97"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72647923" w14:textId="77777777" w:rsidR="004A3CD3" w:rsidRDefault="006C0598">
            <w:pPr>
              <w:spacing w:after="0" w:line="259" w:lineRule="auto"/>
              <w:ind w:left="0" w:right="125" w:firstLine="0"/>
            </w:pPr>
            <w:r>
              <w:t xml:space="preserve">The Fifth Assessment Report ('AR5') - Working Group 3 - Summary for Policymakers (IPCC 2014, AR5 WG III, SPM) </w:t>
            </w:r>
          </w:p>
        </w:tc>
      </w:tr>
      <w:tr w:rsidR="00E933CB" w14:paraId="4585CEB7"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682BD37F"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B.21 </w:t>
            </w:r>
          </w:p>
        </w:tc>
        <w:tc>
          <w:tcPr>
            <w:tcW w:w="1277" w:type="dxa"/>
            <w:tcBorders>
              <w:top w:val="single" w:sz="4" w:space="0" w:color="000000"/>
              <w:left w:val="single" w:sz="4" w:space="0" w:color="000000"/>
              <w:bottom w:val="single" w:sz="4" w:space="0" w:color="000000"/>
              <w:right w:val="single" w:sz="4" w:space="0" w:color="000000"/>
            </w:tcBorders>
          </w:tcPr>
          <w:p w14:paraId="745DA2F9" w14:textId="77777777" w:rsidR="004A3CD3" w:rsidRDefault="006C0598">
            <w:pPr>
              <w:spacing w:after="0" w:line="259" w:lineRule="auto"/>
              <w:ind w:left="0" w:right="97"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4742239E" w14:textId="77777777" w:rsidR="004A3CD3" w:rsidRDefault="006C0598">
            <w:pPr>
              <w:spacing w:after="19" w:line="259" w:lineRule="auto"/>
              <w:ind w:left="0" w:right="0" w:firstLine="0"/>
              <w:jc w:val="left"/>
            </w:pPr>
            <w:r>
              <w:t xml:space="preserve">The Fifth Evaluation Report (AR5) - Summary Report  </w:t>
            </w:r>
          </w:p>
          <w:p w14:paraId="4F5D334C" w14:textId="77777777" w:rsidR="004A3CD3" w:rsidRDefault="006C0598">
            <w:pPr>
              <w:spacing w:after="0" w:line="259" w:lineRule="auto"/>
              <w:ind w:left="0" w:right="0" w:firstLine="0"/>
              <w:jc w:val="left"/>
            </w:pPr>
            <w:r>
              <w:t xml:space="preserve">(IPCC 2014, AR5 SYR) </w:t>
            </w:r>
          </w:p>
        </w:tc>
      </w:tr>
      <w:tr w:rsidR="00E933CB" w14:paraId="6E5B2CA7"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39580FBB"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B.22 </w:t>
            </w:r>
          </w:p>
        </w:tc>
        <w:tc>
          <w:tcPr>
            <w:tcW w:w="1277" w:type="dxa"/>
            <w:tcBorders>
              <w:top w:val="single" w:sz="4" w:space="0" w:color="000000"/>
              <w:left w:val="single" w:sz="4" w:space="0" w:color="000000"/>
              <w:bottom w:val="single" w:sz="4" w:space="0" w:color="000000"/>
              <w:right w:val="single" w:sz="4" w:space="0" w:color="000000"/>
            </w:tcBorders>
          </w:tcPr>
          <w:p w14:paraId="02605D31" w14:textId="77777777" w:rsidR="004A3CD3" w:rsidRDefault="006C0598">
            <w:pPr>
              <w:spacing w:after="0" w:line="259" w:lineRule="auto"/>
              <w:ind w:left="0" w:right="97"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45E3D5A0" w14:textId="77777777" w:rsidR="004A3CD3" w:rsidRDefault="006C0598">
            <w:pPr>
              <w:spacing w:after="0" w:line="276" w:lineRule="auto"/>
              <w:ind w:left="0" w:right="0" w:firstLine="0"/>
            </w:pPr>
            <w:r>
              <w:t xml:space="preserve">The Fifth Assessment Report (AR5) - Synthesis Report - Summary for Decision Makers  </w:t>
            </w:r>
          </w:p>
          <w:p w14:paraId="50873723" w14:textId="77777777" w:rsidR="004A3CD3" w:rsidRDefault="006C0598">
            <w:pPr>
              <w:spacing w:after="0" w:line="259" w:lineRule="auto"/>
              <w:ind w:left="0" w:right="0" w:firstLine="0"/>
              <w:jc w:val="left"/>
            </w:pPr>
            <w:r>
              <w:t xml:space="preserve">(IPCC 2014, AR5 SYR, SPM). </w:t>
            </w:r>
          </w:p>
        </w:tc>
      </w:tr>
      <w:tr w:rsidR="00E933CB" w14:paraId="5A299C3A" w14:textId="77777777">
        <w:trPr>
          <w:trHeight w:val="939"/>
        </w:trPr>
        <w:tc>
          <w:tcPr>
            <w:tcW w:w="674" w:type="dxa"/>
            <w:tcBorders>
              <w:top w:val="single" w:sz="4" w:space="0" w:color="000000"/>
              <w:left w:val="single" w:sz="4" w:space="0" w:color="000000"/>
              <w:bottom w:val="single" w:sz="4" w:space="0" w:color="000000"/>
              <w:right w:val="single" w:sz="4" w:space="0" w:color="000000"/>
            </w:tcBorders>
          </w:tcPr>
          <w:p w14:paraId="3ACCF4EF"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B.23 </w:t>
            </w:r>
          </w:p>
        </w:tc>
        <w:tc>
          <w:tcPr>
            <w:tcW w:w="1277" w:type="dxa"/>
            <w:tcBorders>
              <w:top w:val="single" w:sz="4" w:space="0" w:color="000000"/>
              <w:left w:val="single" w:sz="4" w:space="0" w:color="000000"/>
              <w:bottom w:val="single" w:sz="4" w:space="0" w:color="000000"/>
              <w:right w:val="single" w:sz="4" w:space="0" w:color="000000"/>
            </w:tcBorders>
          </w:tcPr>
          <w:p w14:paraId="63DD4ED0" w14:textId="77777777" w:rsidR="004A3CD3" w:rsidRDefault="006C0598">
            <w:pPr>
              <w:spacing w:after="0" w:line="259" w:lineRule="auto"/>
              <w:ind w:left="0" w:right="99"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3C25612C" w14:textId="77777777" w:rsidR="004A3CD3" w:rsidRDefault="006C0598">
            <w:pPr>
              <w:spacing w:after="16" w:line="259" w:lineRule="auto"/>
              <w:ind w:left="0" w:right="0" w:firstLine="0"/>
              <w:jc w:val="left"/>
            </w:pPr>
            <w:r>
              <w:t xml:space="preserve">Special report on the impacts of global warming of more than </w:t>
            </w:r>
          </w:p>
          <w:p w14:paraId="010DA623" w14:textId="77777777" w:rsidR="004A3CD3" w:rsidRDefault="006C0598">
            <w:pPr>
              <w:spacing w:after="19" w:line="259" w:lineRule="auto"/>
              <w:ind w:left="0" w:right="0" w:firstLine="0"/>
              <w:jc w:val="left"/>
            </w:pPr>
            <w:r>
              <w:t xml:space="preserve">1.5°C, October 2018 </w:t>
            </w:r>
          </w:p>
          <w:p w14:paraId="03AB3554" w14:textId="77777777" w:rsidR="004A3CD3" w:rsidRDefault="006C0598">
            <w:pPr>
              <w:spacing w:after="0" w:line="259" w:lineRule="auto"/>
              <w:ind w:left="0" w:right="0" w:firstLine="0"/>
              <w:jc w:val="left"/>
            </w:pPr>
            <w:r>
              <w:t xml:space="preserve">(IPCC 2018, SR 1.5°C) </w:t>
            </w:r>
          </w:p>
        </w:tc>
      </w:tr>
      <w:tr w:rsidR="00E933CB" w14:paraId="74479BD5"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095B31B3"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B.24 </w:t>
            </w:r>
          </w:p>
        </w:tc>
        <w:tc>
          <w:tcPr>
            <w:tcW w:w="1277" w:type="dxa"/>
            <w:tcBorders>
              <w:top w:val="single" w:sz="4" w:space="0" w:color="000000"/>
              <w:left w:val="single" w:sz="4" w:space="0" w:color="000000"/>
              <w:bottom w:val="single" w:sz="4" w:space="0" w:color="000000"/>
              <w:right w:val="single" w:sz="4" w:space="0" w:color="000000"/>
            </w:tcBorders>
          </w:tcPr>
          <w:p w14:paraId="0A8E6557" w14:textId="77777777" w:rsidR="004A3CD3" w:rsidRDefault="006C0598">
            <w:pPr>
              <w:spacing w:after="0" w:line="259" w:lineRule="auto"/>
              <w:ind w:left="0" w:right="97"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13D26EC2" w14:textId="77777777" w:rsidR="004A3CD3" w:rsidRDefault="006C0598">
            <w:pPr>
              <w:spacing w:after="19" w:line="259" w:lineRule="auto"/>
              <w:ind w:left="0" w:right="0" w:firstLine="0"/>
              <w:jc w:val="left"/>
            </w:pPr>
            <w:r>
              <w:t xml:space="preserve">Special report on the impacts of global warming of more than </w:t>
            </w:r>
          </w:p>
          <w:p w14:paraId="0AEFCC24" w14:textId="77777777" w:rsidR="004A3CD3" w:rsidRDefault="006C0598">
            <w:pPr>
              <w:spacing w:after="16" w:line="259" w:lineRule="auto"/>
              <w:ind w:left="0" w:right="0" w:firstLine="0"/>
              <w:jc w:val="left"/>
            </w:pPr>
            <w:r>
              <w:t xml:space="preserve">1.5°C, October 2018 - Summary for Policymakers </w:t>
            </w:r>
          </w:p>
          <w:p w14:paraId="2C773561" w14:textId="77777777" w:rsidR="004A3CD3" w:rsidRDefault="006C0598">
            <w:pPr>
              <w:spacing w:after="0" w:line="259" w:lineRule="auto"/>
              <w:ind w:left="0" w:right="0" w:firstLine="0"/>
              <w:jc w:val="left"/>
            </w:pPr>
            <w:r>
              <w:t xml:space="preserve">(IPCC 2018, SR 1.5°C, SPM) </w:t>
            </w:r>
          </w:p>
        </w:tc>
      </w:tr>
      <w:tr w:rsidR="00E933CB" w14:paraId="0C1E1594"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7A323329"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B.25 </w:t>
            </w:r>
          </w:p>
        </w:tc>
        <w:tc>
          <w:tcPr>
            <w:tcW w:w="1277" w:type="dxa"/>
            <w:tcBorders>
              <w:top w:val="single" w:sz="4" w:space="0" w:color="000000"/>
              <w:left w:val="single" w:sz="4" w:space="0" w:color="000000"/>
              <w:bottom w:val="single" w:sz="4" w:space="0" w:color="000000"/>
              <w:right w:val="single" w:sz="4" w:space="0" w:color="000000"/>
            </w:tcBorders>
          </w:tcPr>
          <w:p w14:paraId="72E1A49A" w14:textId="77777777" w:rsidR="004A3CD3" w:rsidRDefault="006C0598">
            <w:pPr>
              <w:spacing w:after="0" w:line="259" w:lineRule="auto"/>
              <w:ind w:left="0" w:right="97"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557499C3" w14:textId="77777777" w:rsidR="004A3CD3" w:rsidRDefault="006C0598">
            <w:pPr>
              <w:spacing w:after="19" w:line="259" w:lineRule="auto"/>
              <w:ind w:left="0" w:right="0" w:firstLine="0"/>
              <w:jc w:val="left"/>
            </w:pPr>
            <w:r>
              <w:t xml:space="preserve">Special Report on Oceans, September 2019  </w:t>
            </w:r>
          </w:p>
          <w:p w14:paraId="753BA461" w14:textId="77777777" w:rsidR="004A3CD3" w:rsidRDefault="006C0598">
            <w:pPr>
              <w:spacing w:after="0" w:line="259" w:lineRule="auto"/>
              <w:ind w:left="0" w:right="0" w:firstLine="0"/>
              <w:jc w:val="left"/>
            </w:pPr>
            <w:r>
              <w:t xml:space="preserve">(IPCC 2019, SR Ocean) </w:t>
            </w:r>
          </w:p>
        </w:tc>
      </w:tr>
      <w:tr w:rsidR="00E933CB" w14:paraId="1E8743F7" w14:textId="77777777">
        <w:trPr>
          <w:trHeight w:val="938"/>
        </w:trPr>
        <w:tc>
          <w:tcPr>
            <w:tcW w:w="674" w:type="dxa"/>
            <w:tcBorders>
              <w:top w:val="single" w:sz="4" w:space="0" w:color="000000"/>
              <w:left w:val="single" w:sz="4" w:space="0" w:color="000000"/>
              <w:bottom w:val="single" w:sz="4" w:space="0" w:color="000000"/>
              <w:right w:val="single" w:sz="4" w:space="0" w:color="000000"/>
            </w:tcBorders>
          </w:tcPr>
          <w:p w14:paraId="792E7773"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B.26 </w:t>
            </w:r>
          </w:p>
        </w:tc>
        <w:tc>
          <w:tcPr>
            <w:tcW w:w="1277" w:type="dxa"/>
            <w:tcBorders>
              <w:top w:val="single" w:sz="4" w:space="0" w:color="000000"/>
              <w:left w:val="single" w:sz="4" w:space="0" w:color="000000"/>
              <w:bottom w:val="single" w:sz="4" w:space="0" w:color="000000"/>
              <w:right w:val="single" w:sz="4" w:space="0" w:color="000000"/>
            </w:tcBorders>
          </w:tcPr>
          <w:p w14:paraId="06A968D2" w14:textId="77777777" w:rsidR="004A3CD3" w:rsidRDefault="006C0598">
            <w:pPr>
              <w:spacing w:after="0" w:line="259" w:lineRule="auto"/>
              <w:ind w:left="0" w:right="97"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2C270573" w14:textId="77777777" w:rsidR="004A3CD3" w:rsidRDefault="006C0598">
            <w:pPr>
              <w:spacing w:after="2" w:line="274" w:lineRule="auto"/>
              <w:ind w:left="0" w:right="0" w:firstLine="0"/>
              <w:jc w:val="left"/>
            </w:pPr>
            <w:r>
              <w:t xml:space="preserve">Special Report on Oceans, September 2019 - Summary for Policymakers  </w:t>
            </w:r>
          </w:p>
          <w:p w14:paraId="7008D95A" w14:textId="77777777" w:rsidR="004A3CD3" w:rsidRDefault="006C0598">
            <w:pPr>
              <w:spacing w:after="0" w:line="259" w:lineRule="auto"/>
              <w:ind w:left="0" w:right="0" w:firstLine="0"/>
              <w:jc w:val="left"/>
            </w:pPr>
            <w:r>
              <w:t xml:space="preserve">(IPCC 2019, SR Ocean, SPM) </w:t>
            </w:r>
          </w:p>
        </w:tc>
      </w:tr>
      <w:tr w:rsidR="00E933CB" w14:paraId="7D6FE9DA"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46470E5B"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B.27 </w:t>
            </w:r>
          </w:p>
        </w:tc>
        <w:tc>
          <w:tcPr>
            <w:tcW w:w="1277" w:type="dxa"/>
            <w:tcBorders>
              <w:top w:val="single" w:sz="4" w:space="0" w:color="000000"/>
              <w:left w:val="single" w:sz="4" w:space="0" w:color="000000"/>
              <w:bottom w:val="single" w:sz="4" w:space="0" w:color="000000"/>
              <w:right w:val="single" w:sz="4" w:space="0" w:color="000000"/>
            </w:tcBorders>
          </w:tcPr>
          <w:p w14:paraId="2EFE98AB" w14:textId="77777777" w:rsidR="004A3CD3" w:rsidRDefault="006C0598">
            <w:pPr>
              <w:spacing w:after="0" w:line="259" w:lineRule="auto"/>
              <w:ind w:left="0" w:right="97"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7833A944" w14:textId="77777777" w:rsidR="004A3CD3" w:rsidRDefault="006C0598">
            <w:pPr>
              <w:spacing w:after="19" w:line="259" w:lineRule="auto"/>
              <w:ind w:left="0" w:right="0" w:firstLine="0"/>
              <w:jc w:val="left"/>
            </w:pPr>
            <w:r>
              <w:t xml:space="preserve">Special Report on Land, August 2019  </w:t>
            </w:r>
          </w:p>
          <w:p w14:paraId="70F18B0A" w14:textId="77777777" w:rsidR="004A3CD3" w:rsidRDefault="006C0598">
            <w:pPr>
              <w:spacing w:after="0" w:line="259" w:lineRule="auto"/>
              <w:ind w:left="0" w:right="0" w:firstLine="0"/>
              <w:jc w:val="left"/>
            </w:pPr>
            <w:r>
              <w:t xml:space="preserve">(IPCC 2019, SR land) </w:t>
            </w:r>
          </w:p>
        </w:tc>
      </w:tr>
      <w:tr w:rsidR="00E933CB" w14:paraId="22B802E4"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496B4DB3"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B.28 </w:t>
            </w:r>
          </w:p>
        </w:tc>
        <w:tc>
          <w:tcPr>
            <w:tcW w:w="1277" w:type="dxa"/>
            <w:tcBorders>
              <w:top w:val="single" w:sz="4" w:space="0" w:color="000000"/>
              <w:left w:val="single" w:sz="4" w:space="0" w:color="000000"/>
              <w:bottom w:val="single" w:sz="4" w:space="0" w:color="000000"/>
              <w:right w:val="single" w:sz="4" w:space="0" w:color="000000"/>
            </w:tcBorders>
          </w:tcPr>
          <w:p w14:paraId="3490AF75" w14:textId="77777777" w:rsidR="004A3CD3" w:rsidRDefault="006C0598">
            <w:pPr>
              <w:spacing w:after="0" w:line="259" w:lineRule="auto"/>
              <w:ind w:left="0" w:right="97"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2DA7F6C5" w14:textId="77777777" w:rsidR="004A3CD3" w:rsidRDefault="006C0598">
            <w:pPr>
              <w:spacing w:after="19" w:line="259" w:lineRule="auto"/>
              <w:ind w:left="0" w:right="0" w:firstLine="0"/>
              <w:jc w:val="left"/>
            </w:pPr>
            <w:r>
              <w:t xml:space="preserve">Special Report on Land, August 2019 - Summary for Decision Makers  </w:t>
            </w:r>
          </w:p>
          <w:p w14:paraId="1FB2A030" w14:textId="77777777" w:rsidR="004A3CD3" w:rsidRDefault="006C0598">
            <w:pPr>
              <w:spacing w:after="0" w:line="259" w:lineRule="auto"/>
              <w:ind w:left="0" w:right="0" w:firstLine="0"/>
              <w:jc w:val="left"/>
            </w:pPr>
            <w:r>
              <w:t xml:space="preserve">(IPCC 2019, SR land, SPM) </w:t>
            </w:r>
          </w:p>
        </w:tc>
      </w:tr>
      <w:tr w:rsidR="00E933CB" w14:paraId="43974B2A"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0853BA2D"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B.29 </w:t>
            </w:r>
          </w:p>
        </w:tc>
        <w:tc>
          <w:tcPr>
            <w:tcW w:w="1277" w:type="dxa"/>
            <w:tcBorders>
              <w:top w:val="single" w:sz="4" w:space="0" w:color="000000"/>
              <w:left w:val="single" w:sz="4" w:space="0" w:color="000000"/>
              <w:bottom w:val="single" w:sz="4" w:space="0" w:color="000000"/>
              <w:right w:val="single" w:sz="4" w:space="0" w:color="000000"/>
            </w:tcBorders>
          </w:tcPr>
          <w:p w14:paraId="0F19FF8E" w14:textId="77777777" w:rsidR="004A3CD3" w:rsidRDefault="006C0598">
            <w:pPr>
              <w:spacing w:after="0" w:line="259" w:lineRule="auto"/>
              <w:ind w:left="0" w:right="97" w:firstLine="0"/>
              <w:jc w:val="right"/>
            </w:pPr>
            <w:r>
              <w:t xml:space="preserve">2021 </w:t>
            </w:r>
          </w:p>
        </w:tc>
        <w:tc>
          <w:tcPr>
            <w:tcW w:w="7230" w:type="dxa"/>
            <w:tcBorders>
              <w:top w:val="single" w:sz="4" w:space="0" w:color="000000"/>
              <w:left w:val="single" w:sz="4" w:space="0" w:color="000000"/>
              <w:bottom w:val="single" w:sz="4" w:space="0" w:color="000000"/>
              <w:right w:val="single" w:sz="4" w:space="0" w:color="000000"/>
            </w:tcBorders>
          </w:tcPr>
          <w:p w14:paraId="736DAEB1" w14:textId="77777777" w:rsidR="004A3CD3" w:rsidRDefault="006C0598">
            <w:pPr>
              <w:spacing w:after="19" w:line="259" w:lineRule="auto"/>
              <w:ind w:left="0" w:right="0" w:firstLine="0"/>
              <w:jc w:val="left"/>
            </w:pPr>
            <w:r>
              <w:t xml:space="preserve">The Sixth Assessment Report ('AR6') - Working Group 1 </w:t>
            </w:r>
          </w:p>
          <w:p w14:paraId="51D3C0C6" w14:textId="77777777" w:rsidR="004A3CD3" w:rsidRDefault="006C0598">
            <w:pPr>
              <w:spacing w:after="0" w:line="259" w:lineRule="auto"/>
              <w:ind w:left="0" w:right="0" w:firstLine="0"/>
              <w:jc w:val="left"/>
            </w:pPr>
            <w:r>
              <w:t xml:space="preserve">(IPCC 2021, AR6 WG I) </w:t>
            </w:r>
          </w:p>
        </w:tc>
      </w:tr>
      <w:tr w:rsidR="00E933CB" w14:paraId="1C431A1A" w14:textId="77777777">
        <w:trPr>
          <w:trHeight w:val="938"/>
        </w:trPr>
        <w:tc>
          <w:tcPr>
            <w:tcW w:w="674" w:type="dxa"/>
            <w:tcBorders>
              <w:top w:val="single" w:sz="4" w:space="0" w:color="000000"/>
              <w:left w:val="single" w:sz="4" w:space="0" w:color="000000"/>
              <w:bottom w:val="single" w:sz="4" w:space="0" w:color="000000"/>
              <w:right w:val="single" w:sz="4" w:space="0" w:color="000000"/>
            </w:tcBorders>
          </w:tcPr>
          <w:p w14:paraId="1E2B5EEE"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B.30 </w:t>
            </w:r>
          </w:p>
        </w:tc>
        <w:tc>
          <w:tcPr>
            <w:tcW w:w="1277" w:type="dxa"/>
            <w:tcBorders>
              <w:top w:val="single" w:sz="4" w:space="0" w:color="000000"/>
              <w:left w:val="single" w:sz="4" w:space="0" w:color="000000"/>
              <w:bottom w:val="single" w:sz="4" w:space="0" w:color="000000"/>
              <w:right w:val="single" w:sz="4" w:space="0" w:color="000000"/>
            </w:tcBorders>
          </w:tcPr>
          <w:p w14:paraId="00E58DAE" w14:textId="77777777" w:rsidR="004A3CD3" w:rsidRDefault="006C0598">
            <w:pPr>
              <w:spacing w:after="0" w:line="259" w:lineRule="auto"/>
              <w:ind w:left="0" w:right="97" w:firstLine="0"/>
              <w:jc w:val="right"/>
            </w:pPr>
            <w:r>
              <w:t xml:space="preserve">2021 </w:t>
            </w:r>
          </w:p>
        </w:tc>
        <w:tc>
          <w:tcPr>
            <w:tcW w:w="7230" w:type="dxa"/>
            <w:tcBorders>
              <w:top w:val="single" w:sz="4" w:space="0" w:color="000000"/>
              <w:left w:val="single" w:sz="4" w:space="0" w:color="000000"/>
              <w:bottom w:val="single" w:sz="4" w:space="0" w:color="000000"/>
              <w:right w:val="single" w:sz="4" w:space="0" w:color="000000"/>
            </w:tcBorders>
          </w:tcPr>
          <w:p w14:paraId="01790F0D" w14:textId="77777777" w:rsidR="004A3CD3" w:rsidRDefault="006C0598">
            <w:pPr>
              <w:spacing w:after="0" w:line="259" w:lineRule="auto"/>
              <w:ind w:left="0" w:right="127" w:firstLine="0"/>
            </w:pPr>
            <w:r>
              <w:t xml:space="preserve">The Sixth Assessment Report ('AR6') - Working Group 1 - Summary for Policymakers (IPCC 2021, AR6 WG I, SPM) </w:t>
            </w:r>
          </w:p>
        </w:tc>
      </w:tr>
    </w:tbl>
    <w:p w14:paraId="554D1525" w14:textId="77777777" w:rsidR="00E933CB" w:rsidRDefault="00825B93">
      <w:pPr>
        <w:spacing w:after="19" w:line="259" w:lineRule="auto"/>
        <w:ind w:left="464" w:right="0" w:firstLine="0"/>
        <w:jc w:val="left"/>
      </w:pPr>
      <w:r>
        <w:t xml:space="preserve"> </w:t>
      </w:r>
    </w:p>
    <w:p w14:paraId="093118C1" w14:textId="77777777" w:rsidR="00E933CB" w:rsidRDefault="00825B93">
      <w:pPr>
        <w:spacing w:after="19" w:line="259" w:lineRule="auto"/>
        <w:ind w:left="464" w:right="0" w:firstLine="0"/>
        <w:jc w:val="left"/>
      </w:pPr>
      <w:r>
        <w:t xml:space="preserve"> </w:t>
      </w:r>
    </w:p>
    <w:p w14:paraId="3B8F59EA" w14:textId="77777777" w:rsidR="00E933CB" w:rsidRDefault="00825B93">
      <w:pPr>
        <w:spacing w:after="0" w:line="259" w:lineRule="auto"/>
        <w:ind w:left="464" w:right="0" w:firstLine="0"/>
        <w:jc w:val="left"/>
      </w:pPr>
      <w:r>
        <w:t xml:space="preserve"> </w:t>
      </w:r>
    </w:p>
    <w:tbl>
      <w:tblPr>
        <w:tblStyle w:val="TableGrid"/>
        <w:tblW w:w="9182" w:type="dxa"/>
        <w:tblInd w:w="468" w:type="dxa"/>
        <w:tblCellMar>
          <w:top w:w="48" w:type="dxa"/>
          <w:left w:w="108" w:type="dxa"/>
          <w:right w:w="58" w:type="dxa"/>
        </w:tblCellMar>
        <w:tblLook w:val="04A0" w:firstRow="1" w:lastRow="0" w:firstColumn="1" w:lastColumn="0" w:noHBand="0" w:noVBand="1"/>
      </w:tblPr>
      <w:tblGrid>
        <w:gridCol w:w="674"/>
        <w:gridCol w:w="1277"/>
        <w:gridCol w:w="7231"/>
      </w:tblGrid>
      <w:tr w:rsidR="00E933CB" w14:paraId="281A9FD6" w14:textId="77777777">
        <w:trPr>
          <w:trHeight w:val="571"/>
        </w:trPr>
        <w:tc>
          <w:tcPr>
            <w:tcW w:w="674" w:type="dxa"/>
            <w:tcBorders>
              <w:top w:val="single" w:sz="4" w:space="0" w:color="000000"/>
              <w:left w:val="single" w:sz="4" w:space="0" w:color="000000"/>
              <w:bottom w:val="single" w:sz="4" w:space="0" w:color="000000"/>
              <w:right w:val="nil"/>
            </w:tcBorders>
          </w:tcPr>
          <w:p w14:paraId="05792986" w14:textId="77777777" w:rsidR="00E933CB" w:rsidRDefault="00E933CB">
            <w:pPr>
              <w:spacing w:after="160" w:line="259" w:lineRule="auto"/>
              <w:ind w:left="0" w:right="0" w:firstLine="0"/>
              <w:jc w:val="left"/>
            </w:pPr>
          </w:p>
        </w:tc>
        <w:tc>
          <w:tcPr>
            <w:tcW w:w="8507" w:type="dxa"/>
            <w:gridSpan w:val="2"/>
            <w:tcBorders>
              <w:top w:val="single" w:sz="4" w:space="0" w:color="000000"/>
              <w:left w:val="nil"/>
              <w:bottom w:val="single" w:sz="4" w:space="0" w:color="000000"/>
              <w:right w:val="single" w:sz="4" w:space="0" w:color="000000"/>
            </w:tcBorders>
          </w:tcPr>
          <w:p w14:paraId="143AA00C" w14:textId="77777777" w:rsidR="004A3CD3" w:rsidRDefault="006C0598">
            <w:pPr>
              <w:spacing w:after="0" w:line="259" w:lineRule="auto"/>
              <w:ind w:left="782" w:right="0" w:firstLine="0"/>
              <w:jc w:val="left"/>
            </w:pPr>
            <w:r>
              <w:rPr>
                <w:b/>
                <w:sz w:val="40"/>
              </w:rPr>
              <w:t xml:space="preserve">C. </w:t>
            </w:r>
            <w:r>
              <w:rPr>
                <w:b/>
                <w:sz w:val="40"/>
                <w:u w:val="single" w:color="000000"/>
              </w:rPr>
              <w:t xml:space="preserve">Belgian scientific literature </w:t>
            </w:r>
          </w:p>
        </w:tc>
      </w:tr>
      <w:tr w:rsidR="00E933CB" w14:paraId="0A1FE66A"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2072A66B" w14:textId="77777777" w:rsidR="00E933CB" w:rsidRDefault="00825B93">
            <w:pPr>
              <w:spacing w:after="0" w:line="259" w:lineRule="auto"/>
              <w:ind w:left="108"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96709E5" w14:textId="77777777" w:rsidR="004A3CD3" w:rsidRDefault="006C0598">
            <w:pPr>
              <w:spacing w:after="0" w:line="259" w:lineRule="auto"/>
              <w:ind w:left="0" w:right="0" w:firstLine="0"/>
              <w:jc w:val="left"/>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tcPr>
          <w:p w14:paraId="30F38AC8" w14:textId="77777777" w:rsidR="004A3CD3" w:rsidRDefault="006C0598">
            <w:pPr>
              <w:spacing w:after="0" w:line="259" w:lineRule="auto"/>
              <w:ind w:left="0" w:right="0" w:firstLine="0"/>
              <w:jc w:val="left"/>
            </w:pPr>
            <w:r>
              <w:rPr>
                <w:b/>
              </w:rPr>
              <w:t xml:space="preserve">Description </w:t>
            </w:r>
          </w:p>
        </w:tc>
      </w:tr>
      <w:tr w:rsidR="00E933CB" w14:paraId="190BDA03"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04D71620" w14:textId="77777777" w:rsidR="004A3CD3" w:rsidRDefault="006C0598">
            <w:pPr>
              <w:spacing w:after="0" w:line="259" w:lineRule="auto"/>
              <w:ind w:left="34" w:right="0" w:firstLine="0"/>
              <w:jc w:val="left"/>
            </w:pPr>
            <w:r>
              <w:rPr>
                <w:rFonts w:ascii="Century Gothic" w:eastAsia="Century Gothic" w:hAnsi="Century Gothic" w:cs="Century Gothic"/>
                <w:b/>
                <w:sz w:val="20"/>
              </w:rPr>
              <w:t xml:space="preserve">C.1 </w:t>
            </w:r>
          </w:p>
        </w:tc>
        <w:tc>
          <w:tcPr>
            <w:tcW w:w="1277" w:type="dxa"/>
            <w:tcBorders>
              <w:top w:val="single" w:sz="4" w:space="0" w:color="000000"/>
              <w:left w:val="single" w:sz="4" w:space="0" w:color="000000"/>
              <w:bottom w:val="single" w:sz="4" w:space="0" w:color="000000"/>
              <w:right w:val="single" w:sz="4" w:space="0" w:color="000000"/>
            </w:tcBorders>
          </w:tcPr>
          <w:p w14:paraId="4A788425" w14:textId="77777777" w:rsidR="00E933CB" w:rsidRDefault="00825B93">
            <w:pPr>
              <w:spacing w:after="0" w:line="259" w:lineRule="auto"/>
              <w:ind w:left="0" w:right="34" w:firstLine="0"/>
              <w:jc w:val="right"/>
            </w:pPr>
            <w:r>
              <w:t xml:space="preserve"> </w:t>
            </w:r>
          </w:p>
        </w:tc>
        <w:tc>
          <w:tcPr>
            <w:tcW w:w="7230" w:type="dxa"/>
            <w:tcBorders>
              <w:top w:val="single" w:sz="4" w:space="0" w:color="000000"/>
              <w:left w:val="single" w:sz="4" w:space="0" w:color="000000"/>
              <w:bottom w:val="single" w:sz="4" w:space="0" w:color="000000"/>
              <w:right w:val="single" w:sz="4" w:space="0" w:color="000000"/>
            </w:tcBorders>
          </w:tcPr>
          <w:p w14:paraId="0C7253F7" w14:textId="77777777" w:rsidR="004A3CD3" w:rsidRDefault="006C0598">
            <w:pPr>
              <w:spacing w:after="0" w:line="259" w:lineRule="auto"/>
              <w:ind w:left="0" w:right="118" w:firstLine="0"/>
            </w:pPr>
            <w:r>
              <w:t xml:space="preserve">CLIMATE AND SUSTAINABILITY EXPERT GROUP, "Systemic change is urgently needed if climate change and the ecosystem crisis are to be effectively addressed," May 14, 2019  </w:t>
            </w:r>
          </w:p>
        </w:tc>
      </w:tr>
      <w:tr w:rsidR="00E933CB" w14:paraId="3F5FCE40"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76B7702A" w14:textId="77777777" w:rsidR="004A3CD3" w:rsidRDefault="006C0598">
            <w:pPr>
              <w:spacing w:after="0" w:line="259" w:lineRule="auto"/>
              <w:ind w:left="34" w:right="0" w:firstLine="0"/>
              <w:jc w:val="left"/>
            </w:pPr>
            <w:r>
              <w:rPr>
                <w:rFonts w:ascii="Century Gothic" w:eastAsia="Century Gothic" w:hAnsi="Century Gothic" w:cs="Century Gothic"/>
                <w:b/>
                <w:sz w:val="20"/>
              </w:rPr>
              <w:t xml:space="preserve">C.2 </w:t>
            </w:r>
          </w:p>
        </w:tc>
        <w:tc>
          <w:tcPr>
            <w:tcW w:w="1277" w:type="dxa"/>
            <w:tcBorders>
              <w:top w:val="single" w:sz="4" w:space="0" w:color="000000"/>
              <w:left w:val="single" w:sz="4" w:space="0" w:color="000000"/>
              <w:bottom w:val="single" w:sz="4" w:space="0" w:color="000000"/>
              <w:right w:val="single" w:sz="4" w:space="0" w:color="000000"/>
            </w:tcBorders>
          </w:tcPr>
          <w:p w14:paraId="7656FB9B" w14:textId="77777777" w:rsidR="004A3CD3" w:rsidRDefault="006C0598">
            <w:pPr>
              <w:spacing w:after="0" w:line="259" w:lineRule="auto"/>
              <w:ind w:left="0" w:right="82" w:firstLine="0"/>
              <w:jc w:val="right"/>
            </w:pPr>
            <w:r>
              <w:t xml:space="preserve">2004 </w:t>
            </w:r>
          </w:p>
        </w:tc>
        <w:tc>
          <w:tcPr>
            <w:tcW w:w="7230" w:type="dxa"/>
            <w:tcBorders>
              <w:top w:val="single" w:sz="4" w:space="0" w:color="000000"/>
              <w:left w:val="single" w:sz="4" w:space="0" w:color="000000"/>
              <w:bottom w:val="single" w:sz="4" w:space="0" w:color="000000"/>
              <w:right w:val="single" w:sz="4" w:space="0" w:color="000000"/>
            </w:tcBorders>
          </w:tcPr>
          <w:p w14:paraId="01FF6F5C" w14:textId="77777777" w:rsidR="004A3CD3" w:rsidRDefault="006C0598">
            <w:pPr>
              <w:spacing w:after="0" w:line="259" w:lineRule="auto"/>
              <w:ind w:left="0" w:right="0" w:firstLine="0"/>
            </w:pPr>
            <w:r>
              <w:t xml:space="preserve">VAN YPERSELE (J.P.) &amp; MARBAIX (Ph.), </w:t>
            </w:r>
            <w:r>
              <w:rPr>
                <w:i/>
              </w:rPr>
              <w:t>Impact van de klimaatverandering in België</w:t>
            </w:r>
            <w:r>
              <w:t xml:space="preserve">, UCLouvain - Greenpeace, 2004, 42p. </w:t>
            </w:r>
          </w:p>
        </w:tc>
      </w:tr>
      <w:tr w:rsidR="00E933CB" w14:paraId="16910DDD"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59783F13" w14:textId="77777777" w:rsidR="004A3CD3" w:rsidRDefault="006C0598">
            <w:pPr>
              <w:spacing w:after="0" w:line="259" w:lineRule="auto"/>
              <w:ind w:left="34" w:right="0" w:firstLine="0"/>
              <w:jc w:val="left"/>
            </w:pPr>
            <w:r>
              <w:rPr>
                <w:rFonts w:ascii="Century Gothic" w:eastAsia="Century Gothic" w:hAnsi="Century Gothic" w:cs="Century Gothic"/>
                <w:b/>
                <w:sz w:val="20"/>
              </w:rPr>
              <w:t xml:space="preserve">C.3 </w:t>
            </w:r>
          </w:p>
        </w:tc>
        <w:tc>
          <w:tcPr>
            <w:tcW w:w="1277" w:type="dxa"/>
            <w:tcBorders>
              <w:top w:val="single" w:sz="4" w:space="0" w:color="000000"/>
              <w:left w:val="single" w:sz="4" w:space="0" w:color="000000"/>
              <w:bottom w:val="single" w:sz="4" w:space="0" w:color="000000"/>
              <w:right w:val="single" w:sz="4" w:space="0" w:color="000000"/>
            </w:tcBorders>
          </w:tcPr>
          <w:p w14:paraId="751893DE" w14:textId="77777777" w:rsidR="004A3CD3" w:rsidRDefault="006C0598">
            <w:pPr>
              <w:spacing w:after="0" w:line="259" w:lineRule="auto"/>
              <w:ind w:left="0" w:right="82"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4AED8EEE" w14:textId="77777777" w:rsidR="004A3CD3" w:rsidRDefault="006C0598">
            <w:pPr>
              <w:spacing w:after="0" w:line="259" w:lineRule="auto"/>
              <w:ind w:left="0" w:right="0" w:firstLine="0"/>
              <w:jc w:val="left"/>
            </w:pPr>
            <w:r>
              <w:t xml:space="preserve">Mira, Milieuverkenning 2030, November 2009 </w:t>
            </w:r>
          </w:p>
        </w:tc>
      </w:tr>
      <w:tr w:rsidR="00E933CB" w14:paraId="4A341B4F" w14:textId="77777777">
        <w:trPr>
          <w:trHeight w:val="627"/>
        </w:trPr>
        <w:tc>
          <w:tcPr>
            <w:tcW w:w="674" w:type="dxa"/>
            <w:tcBorders>
              <w:top w:val="single" w:sz="4" w:space="0" w:color="000000"/>
              <w:left w:val="single" w:sz="4" w:space="0" w:color="000000"/>
              <w:bottom w:val="single" w:sz="4" w:space="0" w:color="000000"/>
              <w:right w:val="single" w:sz="4" w:space="0" w:color="000000"/>
            </w:tcBorders>
          </w:tcPr>
          <w:p w14:paraId="55CDA31D" w14:textId="77777777" w:rsidR="004A3CD3" w:rsidRDefault="006C0598">
            <w:pPr>
              <w:spacing w:after="0" w:line="259" w:lineRule="auto"/>
              <w:ind w:left="34" w:right="0" w:firstLine="0"/>
              <w:jc w:val="left"/>
            </w:pPr>
            <w:r>
              <w:rPr>
                <w:rFonts w:ascii="Century Gothic" w:eastAsia="Century Gothic" w:hAnsi="Century Gothic" w:cs="Century Gothic"/>
                <w:b/>
                <w:sz w:val="20"/>
              </w:rPr>
              <w:t xml:space="preserve">C.4 </w:t>
            </w:r>
          </w:p>
        </w:tc>
        <w:tc>
          <w:tcPr>
            <w:tcW w:w="1277" w:type="dxa"/>
            <w:tcBorders>
              <w:top w:val="single" w:sz="4" w:space="0" w:color="000000"/>
              <w:left w:val="single" w:sz="4" w:space="0" w:color="000000"/>
              <w:bottom w:val="single" w:sz="4" w:space="0" w:color="000000"/>
              <w:right w:val="single" w:sz="4" w:space="0" w:color="000000"/>
            </w:tcBorders>
          </w:tcPr>
          <w:p w14:paraId="4CF7627B" w14:textId="77777777" w:rsidR="004A3CD3" w:rsidRDefault="006C0598">
            <w:pPr>
              <w:spacing w:after="0" w:line="259" w:lineRule="auto"/>
              <w:ind w:left="0" w:right="82"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4989E572" w14:textId="77777777" w:rsidR="004A3CD3" w:rsidRDefault="006C0598">
            <w:pPr>
              <w:spacing w:after="0" w:line="259" w:lineRule="auto"/>
              <w:ind w:left="0" w:right="0" w:firstLine="0"/>
            </w:pPr>
            <w:r>
              <w:t xml:space="preserve">Court of Audit, "Federal Climate Policy - Implementation of the Kyoto Protocol" (without annexes), June 2009 </w:t>
            </w:r>
          </w:p>
        </w:tc>
      </w:tr>
      <w:tr w:rsidR="00E933CB" w14:paraId="39054490"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4C0877D2" w14:textId="77777777" w:rsidR="004A3CD3" w:rsidRDefault="006C0598">
            <w:pPr>
              <w:spacing w:after="0" w:line="259" w:lineRule="auto"/>
              <w:ind w:left="34" w:right="0" w:firstLine="0"/>
              <w:jc w:val="left"/>
            </w:pPr>
            <w:r>
              <w:rPr>
                <w:rFonts w:ascii="Century Gothic" w:eastAsia="Century Gothic" w:hAnsi="Century Gothic" w:cs="Century Gothic"/>
                <w:b/>
                <w:sz w:val="20"/>
              </w:rPr>
              <w:t xml:space="preserve">C.5 </w:t>
            </w:r>
          </w:p>
        </w:tc>
        <w:tc>
          <w:tcPr>
            <w:tcW w:w="1277" w:type="dxa"/>
            <w:tcBorders>
              <w:top w:val="single" w:sz="4" w:space="0" w:color="000000"/>
              <w:left w:val="single" w:sz="4" w:space="0" w:color="000000"/>
              <w:bottom w:val="single" w:sz="4" w:space="0" w:color="000000"/>
              <w:right w:val="single" w:sz="4" w:space="0" w:color="000000"/>
            </w:tcBorders>
          </w:tcPr>
          <w:p w14:paraId="7BE9901F" w14:textId="77777777" w:rsidR="004A3CD3" w:rsidRDefault="006C0598">
            <w:pPr>
              <w:spacing w:after="0" w:line="259" w:lineRule="auto"/>
              <w:ind w:left="0" w:right="82"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4A4AF77D" w14:textId="77777777" w:rsidR="004A3CD3" w:rsidRDefault="006C0598">
            <w:pPr>
              <w:spacing w:after="0" w:line="259" w:lineRule="auto"/>
              <w:ind w:left="0" w:right="0" w:firstLine="0"/>
              <w:jc w:val="left"/>
            </w:pPr>
            <w:r>
              <w:t xml:space="preserve">MIRA, </w:t>
            </w:r>
            <w:r>
              <w:rPr>
                <w:i/>
              </w:rPr>
              <w:t>Advies over de Klimaattop in Kopenhagen</w:t>
            </w:r>
            <w:r>
              <w:t xml:space="preserve">, Brussel, 26 november 2009 </w:t>
            </w:r>
          </w:p>
        </w:tc>
      </w:tr>
      <w:tr w:rsidR="00E933CB" w14:paraId="3B657ADA"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1A240D19" w14:textId="77777777" w:rsidR="004A3CD3" w:rsidRDefault="006C0598">
            <w:pPr>
              <w:spacing w:after="0" w:line="259" w:lineRule="auto"/>
              <w:ind w:left="34" w:right="0" w:firstLine="0"/>
              <w:jc w:val="left"/>
            </w:pPr>
            <w:r>
              <w:rPr>
                <w:rFonts w:ascii="Century Gothic" w:eastAsia="Century Gothic" w:hAnsi="Century Gothic" w:cs="Century Gothic"/>
                <w:b/>
                <w:sz w:val="20"/>
              </w:rPr>
              <w:t xml:space="preserve">C.6 </w:t>
            </w:r>
          </w:p>
        </w:tc>
        <w:tc>
          <w:tcPr>
            <w:tcW w:w="1277" w:type="dxa"/>
            <w:tcBorders>
              <w:top w:val="single" w:sz="4" w:space="0" w:color="000000"/>
              <w:left w:val="single" w:sz="4" w:space="0" w:color="000000"/>
              <w:bottom w:val="single" w:sz="4" w:space="0" w:color="000000"/>
              <w:right w:val="single" w:sz="4" w:space="0" w:color="000000"/>
            </w:tcBorders>
          </w:tcPr>
          <w:p w14:paraId="7417482D" w14:textId="77777777" w:rsidR="004A3CD3" w:rsidRDefault="006C0598">
            <w:pPr>
              <w:spacing w:after="0" w:line="259" w:lineRule="auto"/>
              <w:ind w:left="0" w:right="82" w:firstLine="0"/>
              <w:jc w:val="right"/>
            </w:pPr>
            <w:r>
              <w:t xml:space="preserve">2010 </w:t>
            </w:r>
          </w:p>
        </w:tc>
        <w:tc>
          <w:tcPr>
            <w:tcW w:w="7230" w:type="dxa"/>
            <w:tcBorders>
              <w:top w:val="single" w:sz="4" w:space="0" w:color="000000"/>
              <w:left w:val="single" w:sz="4" w:space="0" w:color="000000"/>
              <w:bottom w:val="single" w:sz="4" w:space="0" w:color="000000"/>
              <w:right w:val="single" w:sz="4" w:space="0" w:color="000000"/>
            </w:tcBorders>
          </w:tcPr>
          <w:p w14:paraId="3C38ED38" w14:textId="77777777" w:rsidR="004A3CD3" w:rsidRDefault="006C0598">
            <w:pPr>
              <w:spacing w:after="0" w:line="276" w:lineRule="auto"/>
              <w:ind w:left="0" w:right="0" w:firstLine="0"/>
            </w:pPr>
            <w:r>
              <w:t xml:space="preserve">E. BRITS </w:t>
            </w:r>
            <w:r>
              <w:rPr>
                <w:i/>
              </w:rPr>
              <w:t>et al</w:t>
            </w:r>
            <w:r>
              <w:t xml:space="preserve">, </w:t>
            </w:r>
            <w:r>
              <w:rPr>
                <w:i/>
              </w:rPr>
              <w:t xml:space="preserve">Climate change and health. Set-up of monitoring of potential effects of climate change on human health and on the health of animals in </w:t>
            </w:r>
          </w:p>
          <w:p w14:paraId="6EF15562" w14:textId="77777777" w:rsidR="004A3CD3" w:rsidRDefault="006C0598">
            <w:pPr>
              <w:spacing w:after="0" w:line="259" w:lineRule="auto"/>
              <w:ind w:left="0" w:right="0" w:firstLine="0"/>
              <w:jc w:val="left"/>
            </w:pPr>
            <w:r>
              <w:rPr>
                <w:i/>
              </w:rPr>
              <w:t>Belgium</w:t>
            </w:r>
            <w:r>
              <w:t xml:space="preserve">, Brussels, Scientific Institute of Public Health, 2010 </w:t>
            </w:r>
          </w:p>
        </w:tc>
      </w:tr>
      <w:tr w:rsidR="00E933CB" w14:paraId="3CC48A2B"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3F26C68D" w14:textId="77777777" w:rsidR="004A3CD3" w:rsidRDefault="006C0598">
            <w:pPr>
              <w:spacing w:after="0" w:line="259" w:lineRule="auto"/>
              <w:ind w:left="34" w:right="0" w:firstLine="0"/>
              <w:jc w:val="left"/>
            </w:pPr>
            <w:r>
              <w:rPr>
                <w:rFonts w:ascii="Century Gothic" w:eastAsia="Century Gothic" w:hAnsi="Century Gothic" w:cs="Century Gothic"/>
                <w:b/>
                <w:sz w:val="20"/>
              </w:rPr>
              <w:t xml:space="preserve">C.7 </w:t>
            </w:r>
          </w:p>
        </w:tc>
        <w:tc>
          <w:tcPr>
            <w:tcW w:w="1277" w:type="dxa"/>
            <w:tcBorders>
              <w:top w:val="single" w:sz="4" w:space="0" w:color="000000"/>
              <w:left w:val="single" w:sz="4" w:space="0" w:color="000000"/>
              <w:bottom w:val="single" w:sz="4" w:space="0" w:color="000000"/>
              <w:right w:val="single" w:sz="4" w:space="0" w:color="000000"/>
            </w:tcBorders>
          </w:tcPr>
          <w:p w14:paraId="4D9BE264" w14:textId="77777777" w:rsidR="004A3CD3" w:rsidRDefault="006C0598">
            <w:pPr>
              <w:spacing w:after="0" w:line="259" w:lineRule="auto"/>
              <w:ind w:left="0" w:right="82" w:firstLine="0"/>
              <w:jc w:val="right"/>
            </w:pPr>
            <w:r>
              <w:t xml:space="preserve">2013 </w:t>
            </w:r>
          </w:p>
        </w:tc>
        <w:tc>
          <w:tcPr>
            <w:tcW w:w="7230" w:type="dxa"/>
            <w:tcBorders>
              <w:top w:val="single" w:sz="4" w:space="0" w:color="000000"/>
              <w:left w:val="single" w:sz="4" w:space="0" w:color="000000"/>
              <w:bottom w:val="single" w:sz="4" w:space="0" w:color="000000"/>
              <w:right w:val="single" w:sz="4" w:space="0" w:color="000000"/>
            </w:tcBorders>
          </w:tcPr>
          <w:p w14:paraId="704907FE" w14:textId="77777777" w:rsidR="004A3CD3" w:rsidRDefault="006C0598">
            <w:pPr>
              <w:spacing w:after="0" w:line="259" w:lineRule="auto"/>
              <w:ind w:left="0" w:right="0" w:firstLine="0"/>
            </w:pPr>
            <w:r>
              <w:t xml:space="preserve">Scenarios for a low-carbon Belgium by 2050 - Summary, November 2013 </w:t>
            </w:r>
          </w:p>
        </w:tc>
      </w:tr>
      <w:tr w:rsidR="00E933CB" w14:paraId="7882FD0F" w14:textId="77777777">
        <w:trPr>
          <w:trHeight w:val="1056"/>
        </w:trPr>
        <w:tc>
          <w:tcPr>
            <w:tcW w:w="674" w:type="dxa"/>
            <w:tcBorders>
              <w:top w:val="single" w:sz="4" w:space="0" w:color="000000"/>
              <w:left w:val="single" w:sz="4" w:space="0" w:color="000000"/>
              <w:bottom w:val="single" w:sz="4" w:space="0" w:color="000000"/>
              <w:right w:val="single" w:sz="4" w:space="0" w:color="000000"/>
            </w:tcBorders>
          </w:tcPr>
          <w:p w14:paraId="5AF566DD" w14:textId="77777777" w:rsidR="004A3CD3" w:rsidRDefault="006C0598">
            <w:pPr>
              <w:spacing w:after="0" w:line="259" w:lineRule="auto"/>
              <w:ind w:left="34" w:right="0" w:firstLine="0"/>
              <w:jc w:val="left"/>
            </w:pPr>
            <w:r>
              <w:rPr>
                <w:rFonts w:ascii="Century Gothic" w:eastAsia="Century Gothic" w:hAnsi="Century Gothic" w:cs="Century Gothic"/>
                <w:b/>
                <w:sz w:val="20"/>
              </w:rPr>
              <w:t xml:space="preserve">C.8 </w:t>
            </w:r>
          </w:p>
        </w:tc>
        <w:tc>
          <w:tcPr>
            <w:tcW w:w="1277" w:type="dxa"/>
            <w:tcBorders>
              <w:top w:val="single" w:sz="4" w:space="0" w:color="000000"/>
              <w:left w:val="single" w:sz="4" w:space="0" w:color="000000"/>
              <w:bottom w:val="single" w:sz="4" w:space="0" w:color="000000"/>
              <w:right w:val="single" w:sz="4" w:space="0" w:color="000000"/>
            </w:tcBorders>
          </w:tcPr>
          <w:p w14:paraId="137824EC" w14:textId="77777777" w:rsidR="004A3CD3" w:rsidRDefault="006C0598">
            <w:pPr>
              <w:spacing w:after="0" w:line="259" w:lineRule="auto"/>
              <w:ind w:left="0" w:right="82" w:firstLine="0"/>
              <w:jc w:val="right"/>
            </w:pPr>
            <w:r>
              <w:t xml:space="preserve">2013 </w:t>
            </w:r>
          </w:p>
        </w:tc>
        <w:tc>
          <w:tcPr>
            <w:tcW w:w="7230" w:type="dxa"/>
            <w:tcBorders>
              <w:top w:val="single" w:sz="4" w:space="0" w:color="000000"/>
              <w:left w:val="single" w:sz="4" w:space="0" w:color="000000"/>
              <w:bottom w:val="single" w:sz="4" w:space="0" w:color="000000"/>
              <w:right w:val="single" w:sz="4" w:space="0" w:color="000000"/>
            </w:tcBorders>
            <w:vAlign w:val="center"/>
          </w:tcPr>
          <w:p w14:paraId="032D3626" w14:textId="77777777" w:rsidR="004A3CD3" w:rsidRDefault="006C0598">
            <w:pPr>
              <w:spacing w:after="0" w:line="259" w:lineRule="auto"/>
              <w:ind w:left="0" w:right="45" w:firstLine="0"/>
            </w:pPr>
            <w:r>
              <w:t xml:space="preserve">CORNET (M.) </w:t>
            </w:r>
            <w:r>
              <w:rPr>
                <w:i/>
              </w:rPr>
              <w:t>et. al</w:t>
            </w:r>
            <w:r>
              <w:t xml:space="preserve">, </w:t>
            </w:r>
            <w:r>
              <w:rPr>
                <w:i/>
              </w:rPr>
              <w:t>Scenarios for a Low Carbon Belgium by 2050. Final Report</w:t>
            </w:r>
            <w:r>
              <w:t xml:space="preserve">, Brussels, Federal Public Service Health, Food Chain Safety and Environment - Climate Change Section, November 2013, 122 p. </w:t>
            </w:r>
          </w:p>
        </w:tc>
      </w:tr>
      <w:tr w:rsidR="00E933CB" w14:paraId="235B5BAD" w14:textId="77777777">
        <w:trPr>
          <w:trHeight w:val="1246"/>
        </w:trPr>
        <w:tc>
          <w:tcPr>
            <w:tcW w:w="674" w:type="dxa"/>
            <w:tcBorders>
              <w:top w:val="single" w:sz="4" w:space="0" w:color="000000"/>
              <w:left w:val="single" w:sz="4" w:space="0" w:color="000000"/>
              <w:bottom w:val="single" w:sz="4" w:space="0" w:color="000000"/>
              <w:right w:val="single" w:sz="4" w:space="0" w:color="000000"/>
            </w:tcBorders>
          </w:tcPr>
          <w:p w14:paraId="54331D90" w14:textId="77777777" w:rsidR="004A3CD3" w:rsidRDefault="006C0598">
            <w:pPr>
              <w:spacing w:after="0" w:line="259" w:lineRule="auto"/>
              <w:ind w:left="34" w:right="0" w:firstLine="0"/>
              <w:jc w:val="left"/>
            </w:pPr>
            <w:r>
              <w:rPr>
                <w:rFonts w:ascii="Century Gothic" w:eastAsia="Century Gothic" w:hAnsi="Century Gothic" w:cs="Century Gothic"/>
                <w:b/>
                <w:sz w:val="20"/>
              </w:rPr>
              <w:t xml:space="preserve">C.9 </w:t>
            </w:r>
          </w:p>
        </w:tc>
        <w:tc>
          <w:tcPr>
            <w:tcW w:w="1277" w:type="dxa"/>
            <w:tcBorders>
              <w:top w:val="single" w:sz="4" w:space="0" w:color="000000"/>
              <w:left w:val="single" w:sz="4" w:space="0" w:color="000000"/>
              <w:bottom w:val="single" w:sz="4" w:space="0" w:color="000000"/>
              <w:right w:val="single" w:sz="4" w:space="0" w:color="000000"/>
            </w:tcBorders>
          </w:tcPr>
          <w:p w14:paraId="48020A7C" w14:textId="77777777" w:rsidR="004A3CD3" w:rsidRDefault="006C0598">
            <w:pPr>
              <w:spacing w:after="0" w:line="259" w:lineRule="auto"/>
              <w:ind w:left="0" w:right="82" w:firstLine="0"/>
              <w:jc w:val="right"/>
            </w:pPr>
            <w:r>
              <w:t xml:space="preserve">2017 </w:t>
            </w:r>
          </w:p>
        </w:tc>
        <w:tc>
          <w:tcPr>
            <w:tcW w:w="7230" w:type="dxa"/>
            <w:tcBorders>
              <w:top w:val="single" w:sz="4" w:space="0" w:color="000000"/>
              <w:left w:val="single" w:sz="4" w:space="0" w:color="000000"/>
              <w:bottom w:val="single" w:sz="4" w:space="0" w:color="000000"/>
              <w:right w:val="single" w:sz="4" w:space="0" w:color="000000"/>
            </w:tcBorders>
          </w:tcPr>
          <w:p w14:paraId="1159037A" w14:textId="77777777" w:rsidR="004A3CD3" w:rsidRDefault="006C0598">
            <w:pPr>
              <w:spacing w:after="1" w:line="275" w:lineRule="auto"/>
              <w:ind w:left="0" w:right="112" w:firstLine="0"/>
            </w:pPr>
            <w:r>
              <w:t xml:space="preserve">NATIONAL CLIMATE COMMISSION, </w:t>
            </w:r>
            <w:r>
              <w:rPr>
                <w:i/>
              </w:rPr>
              <w:t>Belgium's seventh national communication and third biennial report on climate change under the United Nations Framework Convention on Climate Change</w:t>
            </w:r>
            <w:r>
              <w:t xml:space="preserve">, Brussels, Federal Service Public </w:t>
            </w:r>
          </w:p>
          <w:p w14:paraId="1EE71D4A" w14:textId="77777777" w:rsidR="004A3CD3" w:rsidRDefault="006C0598">
            <w:pPr>
              <w:spacing w:after="0" w:line="259" w:lineRule="auto"/>
              <w:ind w:left="0" w:right="0" w:firstLine="0"/>
              <w:jc w:val="left"/>
            </w:pPr>
            <w:r>
              <w:t xml:space="preserve">Health, Food Chain Safety and Environment, December 2017 </w:t>
            </w:r>
          </w:p>
        </w:tc>
      </w:tr>
      <w:tr w:rsidR="00E933CB" w14:paraId="16712C17" w14:textId="77777777">
        <w:trPr>
          <w:trHeight w:val="1553"/>
        </w:trPr>
        <w:tc>
          <w:tcPr>
            <w:tcW w:w="674" w:type="dxa"/>
            <w:tcBorders>
              <w:top w:val="single" w:sz="4" w:space="0" w:color="000000"/>
              <w:left w:val="single" w:sz="4" w:space="0" w:color="000000"/>
              <w:bottom w:val="single" w:sz="4" w:space="0" w:color="000000"/>
              <w:right w:val="single" w:sz="4" w:space="0" w:color="000000"/>
            </w:tcBorders>
          </w:tcPr>
          <w:p w14:paraId="02D8D3BE"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C.10 </w:t>
            </w:r>
          </w:p>
        </w:tc>
        <w:tc>
          <w:tcPr>
            <w:tcW w:w="1277" w:type="dxa"/>
            <w:tcBorders>
              <w:top w:val="single" w:sz="4" w:space="0" w:color="000000"/>
              <w:left w:val="single" w:sz="4" w:space="0" w:color="000000"/>
              <w:bottom w:val="single" w:sz="4" w:space="0" w:color="000000"/>
              <w:right w:val="single" w:sz="4" w:space="0" w:color="000000"/>
            </w:tcBorders>
          </w:tcPr>
          <w:p w14:paraId="533FD5F9" w14:textId="77777777" w:rsidR="004A3CD3" w:rsidRDefault="006C0598">
            <w:pPr>
              <w:spacing w:after="0" w:line="259" w:lineRule="auto"/>
              <w:ind w:left="0" w:right="82" w:firstLine="0"/>
              <w:jc w:val="right"/>
            </w:pPr>
            <w:r>
              <w:t xml:space="preserve">2017 </w:t>
            </w:r>
          </w:p>
        </w:tc>
        <w:tc>
          <w:tcPr>
            <w:tcW w:w="7230" w:type="dxa"/>
            <w:tcBorders>
              <w:top w:val="single" w:sz="4" w:space="0" w:color="000000"/>
              <w:left w:val="single" w:sz="4" w:space="0" w:color="000000"/>
              <w:bottom w:val="single" w:sz="4" w:space="0" w:color="000000"/>
              <w:right w:val="single" w:sz="4" w:space="0" w:color="000000"/>
            </w:tcBorders>
          </w:tcPr>
          <w:p w14:paraId="530082E8" w14:textId="77777777" w:rsidR="004A3CD3" w:rsidRDefault="006C0598">
            <w:pPr>
              <w:spacing w:after="1" w:line="275" w:lineRule="auto"/>
              <w:ind w:left="0" w:right="114" w:firstLine="0"/>
            </w:pPr>
            <w:r>
              <w:t xml:space="preserve">NATIONAL CLIMATE COMMISSION, </w:t>
            </w:r>
            <w:r>
              <w:rPr>
                <w:i/>
              </w:rPr>
              <w:t>Seventh National Communication on Climate Change under the United Nations Framework Convention on Climate Change</w:t>
            </w:r>
            <w:r>
              <w:t xml:space="preserve">, Brussels, Federal Public Service Public Health, Food Chain Safety and Environment, 2017/12, 16 p. </w:t>
            </w:r>
          </w:p>
          <w:p w14:paraId="55AAD9C5" w14:textId="77777777" w:rsidR="004A3CD3" w:rsidRDefault="006C0598">
            <w:pPr>
              <w:spacing w:after="0" w:line="259" w:lineRule="auto"/>
              <w:ind w:left="0" w:right="0" w:firstLine="0"/>
              <w:jc w:val="left"/>
            </w:pPr>
            <w:r>
              <w:t xml:space="preserve">(French summary of Exhibit C.9) </w:t>
            </w:r>
          </w:p>
        </w:tc>
      </w:tr>
      <w:tr w:rsidR="00E933CB" w14:paraId="20188DA6" w14:textId="77777777">
        <w:trPr>
          <w:trHeight w:val="938"/>
        </w:trPr>
        <w:tc>
          <w:tcPr>
            <w:tcW w:w="674" w:type="dxa"/>
            <w:tcBorders>
              <w:top w:val="single" w:sz="4" w:space="0" w:color="000000"/>
              <w:left w:val="single" w:sz="4" w:space="0" w:color="000000"/>
              <w:bottom w:val="single" w:sz="4" w:space="0" w:color="000000"/>
              <w:right w:val="single" w:sz="4" w:space="0" w:color="000000"/>
            </w:tcBorders>
          </w:tcPr>
          <w:p w14:paraId="0EB539D0"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C.11 </w:t>
            </w:r>
          </w:p>
        </w:tc>
        <w:tc>
          <w:tcPr>
            <w:tcW w:w="1277" w:type="dxa"/>
            <w:tcBorders>
              <w:top w:val="single" w:sz="4" w:space="0" w:color="000000"/>
              <w:left w:val="single" w:sz="4" w:space="0" w:color="000000"/>
              <w:bottom w:val="single" w:sz="4" w:space="0" w:color="000000"/>
              <w:right w:val="single" w:sz="4" w:space="0" w:color="000000"/>
            </w:tcBorders>
          </w:tcPr>
          <w:p w14:paraId="597790AA"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5AF5BB1F" w14:textId="77777777" w:rsidR="004A3CD3" w:rsidRDefault="006C0598">
            <w:pPr>
              <w:spacing w:after="0" w:line="259" w:lineRule="auto"/>
              <w:ind w:left="0" w:right="113" w:firstLine="0"/>
            </w:pPr>
            <w:r>
              <w:t>Panel on Climate and Sustainable Development, '</w:t>
            </w:r>
            <w:r>
              <w:rPr>
                <w:i/>
              </w:rPr>
              <w:t>Systemic change is urgently needed if climate change and the ecosystem crisis are to be effectively addressed</w:t>
            </w:r>
            <w:r>
              <w:t xml:space="preserve">', 14 May 2019 </w:t>
            </w:r>
          </w:p>
        </w:tc>
      </w:tr>
      <w:tr w:rsidR="00E933CB" w14:paraId="04AD02B1" w14:textId="77777777">
        <w:trPr>
          <w:trHeight w:val="627"/>
        </w:trPr>
        <w:tc>
          <w:tcPr>
            <w:tcW w:w="674" w:type="dxa"/>
            <w:tcBorders>
              <w:top w:val="single" w:sz="4" w:space="0" w:color="000000"/>
              <w:left w:val="single" w:sz="4" w:space="0" w:color="000000"/>
              <w:bottom w:val="single" w:sz="4" w:space="0" w:color="000000"/>
              <w:right w:val="single" w:sz="4" w:space="0" w:color="000000"/>
            </w:tcBorders>
          </w:tcPr>
          <w:p w14:paraId="68FED6AB"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C.12 </w:t>
            </w:r>
          </w:p>
        </w:tc>
        <w:tc>
          <w:tcPr>
            <w:tcW w:w="1277" w:type="dxa"/>
            <w:tcBorders>
              <w:top w:val="single" w:sz="4" w:space="0" w:color="000000"/>
              <w:left w:val="single" w:sz="4" w:space="0" w:color="000000"/>
              <w:bottom w:val="single" w:sz="4" w:space="0" w:color="000000"/>
              <w:right w:val="single" w:sz="4" w:space="0" w:color="000000"/>
            </w:tcBorders>
          </w:tcPr>
          <w:p w14:paraId="137E5543"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70999778" w14:textId="77777777" w:rsidR="004A3CD3" w:rsidRDefault="006C0598">
            <w:pPr>
              <w:spacing w:after="16" w:line="259" w:lineRule="auto"/>
              <w:ind w:left="0" w:right="0" w:firstLine="0"/>
              <w:jc w:val="left"/>
            </w:pPr>
            <w:r>
              <w:t xml:space="preserve">WALLONIAN IPCC PLATFORM, Oceans and Cryosphere, letter 15, </w:t>
            </w:r>
          </w:p>
          <w:p w14:paraId="4F54D645" w14:textId="77777777" w:rsidR="004A3CD3" w:rsidRDefault="006C0598">
            <w:pPr>
              <w:spacing w:after="0" w:line="259" w:lineRule="auto"/>
              <w:ind w:left="0" w:right="0" w:firstLine="0"/>
              <w:jc w:val="left"/>
            </w:pPr>
            <w:r>
              <w:t xml:space="preserve">November 2019 </w:t>
            </w:r>
          </w:p>
        </w:tc>
      </w:tr>
    </w:tbl>
    <w:p w14:paraId="7C4CE9CF" w14:textId="77777777" w:rsidR="00E933CB" w:rsidRDefault="00825B93">
      <w:pPr>
        <w:spacing w:after="98" w:line="259" w:lineRule="auto"/>
        <w:ind w:left="0" w:right="9117" w:firstLine="0"/>
        <w:jc w:val="right"/>
      </w:pPr>
      <w:r>
        <w:t xml:space="preserve"> </w:t>
      </w:r>
    </w:p>
    <w:p w14:paraId="2DB29C2B" w14:textId="77777777" w:rsidR="00E933CB" w:rsidRDefault="00825B93">
      <w:pPr>
        <w:spacing w:after="98" w:line="259" w:lineRule="auto"/>
        <w:ind w:left="464" w:right="0" w:firstLine="0"/>
        <w:jc w:val="left"/>
      </w:pPr>
      <w:r>
        <w:t xml:space="preserve"> </w:t>
      </w:r>
    </w:p>
    <w:p w14:paraId="381DDBBD" w14:textId="77777777" w:rsidR="00E933CB" w:rsidRDefault="00825B93">
      <w:pPr>
        <w:spacing w:after="98" w:line="259" w:lineRule="auto"/>
        <w:ind w:left="464" w:right="0" w:firstLine="0"/>
        <w:jc w:val="left"/>
      </w:pPr>
      <w:r>
        <w:t xml:space="preserve"> </w:t>
      </w:r>
    </w:p>
    <w:p w14:paraId="6C83AB63" w14:textId="77777777" w:rsidR="00E933CB" w:rsidRDefault="00825B93">
      <w:pPr>
        <w:spacing w:after="0" w:line="259" w:lineRule="auto"/>
        <w:ind w:left="464" w:right="0" w:firstLine="0"/>
        <w:jc w:val="left"/>
      </w:pPr>
      <w:r>
        <w:t xml:space="preserve"> </w:t>
      </w:r>
    </w:p>
    <w:tbl>
      <w:tblPr>
        <w:tblStyle w:val="TableGrid"/>
        <w:tblW w:w="9182" w:type="dxa"/>
        <w:tblInd w:w="468" w:type="dxa"/>
        <w:tblCellMar>
          <w:top w:w="48" w:type="dxa"/>
          <w:left w:w="151" w:type="dxa"/>
          <w:right w:w="92" w:type="dxa"/>
        </w:tblCellMar>
        <w:tblLook w:val="04A0" w:firstRow="1" w:lastRow="0" w:firstColumn="1" w:lastColumn="0" w:noHBand="0" w:noVBand="1"/>
      </w:tblPr>
      <w:tblGrid>
        <w:gridCol w:w="674"/>
        <w:gridCol w:w="1277"/>
        <w:gridCol w:w="7231"/>
      </w:tblGrid>
      <w:tr w:rsidR="00E933CB" w14:paraId="24A76961" w14:textId="77777777">
        <w:trPr>
          <w:trHeight w:val="572"/>
        </w:trPr>
        <w:tc>
          <w:tcPr>
            <w:tcW w:w="674" w:type="dxa"/>
            <w:tcBorders>
              <w:top w:val="single" w:sz="4" w:space="0" w:color="000000"/>
              <w:left w:val="single" w:sz="4" w:space="0" w:color="000000"/>
              <w:bottom w:val="single" w:sz="4" w:space="0" w:color="000000"/>
              <w:right w:val="nil"/>
            </w:tcBorders>
          </w:tcPr>
          <w:p w14:paraId="1252EAFB" w14:textId="77777777" w:rsidR="00E933CB" w:rsidRDefault="00E933CB">
            <w:pPr>
              <w:spacing w:after="160" w:line="259" w:lineRule="auto"/>
              <w:ind w:left="0" w:right="0" w:firstLine="0"/>
              <w:jc w:val="left"/>
            </w:pPr>
          </w:p>
        </w:tc>
        <w:tc>
          <w:tcPr>
            <w:tcW w:w="8507" w:type="dxa"/>
            <w:gridSpan w:val="2"/>
            <w:tcBorders>
              <w:top w:val="single" w:sz="4" w:space="0" w:color="000000"/>
              <w:left w:val="nil"/>
              <w:bottom w:val="single" w:sz="4" w:space="0" w:color="000000"/>
              <w:right w:val="single" w:sz="4" w:space="0" w:color="000000"/>
            </w:tcBorders>
          </w:tcPr>
          <w:p w14:paraId="120D55F6" w14:textId="77777777" w:rsidR="004A3CD3" w:rsidRDefault="006C0598">
            <w:pPr>
              <w:spacing w:after="0" w:line="259" w:lineRule="auto"/>
              <w:ind w:left="185" w:right="0" w:firstLine="0"/>
              <w:jc w:val="left"/>
            </w:pPr>
            <w:r>
              <w:rPr>
                <w:b/>
                <w:sz w:val="40"/>
              </w:rPr>
              <w:t xml:space="preserve">D. </w:t>
            </w:r>
            <w:r>
              <w:rPr>
                <w:b/>
                <w:sz w:val="40"/>
                <w:u w:val="single" w:color="000000"/>
              </w:rPr>
              <w:t xml:space="preserve">European scientific documentation </w:t>
            </w:r>
          </w:p>
        </w:tc>
      </w:tr>
      <w:tr w:rsidR="00E933CB" w14:paraId="65D71758" w14:textId="77777777">
        <w:trPr>
          <w:trHeight w:val="518"/>
        </w:trPr>
        <w:tc>
          <w:tcPr>
            <w:tcW w:w="674" w:type="dxa"/>
            <w:tcBorders>
              <w:top w:val="single" w:sz="4" w:space="0" w:color="000000"/>
              <w:left w:val="single" w:sz="4" w:space="0" w:color="000000"/>
              <w:bottom w:val="single" w:sz="4" w:space="0" w:color="000000"/>
              <w:right w:val="single" w:sz="4" w:space="0" w:color="000000"/>
            </w:tcBorders>
            <w:vAlign w:val="center"/>
          </w:tcPr>
          <w:p w14:paraId="45826BC1" w14:textId="77777777" w:rsidR="00E933CB" w:rsidRDefault="00825B93">
            <w:pPr>
              <w:spacing w:after="0" w:line="259" w:lineRule="auto"/>
              <w:ind w:left="98"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376CA9D3" w14:textId="77777777" w:rsidR="004A3CD3" w:rsidRDefault="006C0598">
            <w:pPr>
              <w:spacing w:after="0" w:line="259" w:lineRule="auto"/>
              <w:ind w:left="0" w:right="76" w:firstLine="0"/>
              <w:jc w:val="right"/>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vAlign w:val="center"/>
          </w:tcPr>
          <w:p w14:paraId="5EBBCDE8" w14:textId="77777777" w:rsidR="004A3CD3" w:rsidRDefault="006C0598">
            <w:pPr>
              <w:spacing w:after="0" w:line="259" w:lineRule="auto"/>
              <w:ind w:left="524" w:right="0" w:firstLine="0"/>
              <w:jc w:val="left"/>
            </w:pPr>
            <w:r>
              <w:rPr>
                <w:b/>
              </w:rPr>
              <w:t xml:space="preserve">Description </w:t>
            </w:r>
          </w:p>
        </w:tc>
      </w:tr>
      <w:tr w:rsidR="00E933CB" w14:paraId="3E7E2E1D"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07A7718D" w14:textId="77777777" w:rsidR="004A3CD3" w:rsidRDefault="006C0598">
            <w:pPr>
              <w:spacing w:after="0" w:line="259" w:lineRule="auto"/>
              <w:ind w:left="0" w:right="0" w:firstLine="0"/>
              <w:jc w:val="left"/>
            </w:pPr>
            <w:r>
              <w:rPr>
                <w:rFonts w:ascii="Century Gothic" w:eastAsia="Century Gothic" w:hAnsi="Century Gothic" w:cs="Century Gothic"/>
                <w:b/>
                <w:sz w:val="20"/>
              </w:rPr>
              <w:lastRenderedPageBreak/>
              <w:t xml:space="preserve">D.1 </w:t>
            </w:r>
          </w:p>
        </w:tc>
        <w:tc>
          <w:tcPr>
            <w:tcW w:w="1277" w:type="dxa"/>
            <w:tcBorders>
              <w:top w:val="single" w:sz="4" w:space="0" w:color="000000"/>
              <w:left w:val="single" w:sz="4" w:space="0" w:color="000000"/>
              <w:bottom w:val="single" w:sz="4" w:space="0" w:color="000000"/>
              <w:right w:val="single" w:sz="4" w:space="0" w:color="000000"/>
            </w:tcBorders>
          </w:tcPr>
          <w:p w14:paraId="3DBBD4E3" w14:textId="77777777" w:rsidR="004A3CD3" w:rsidRDefault="006C0598">
            <w:pPr>
              <w:spacing w:after="0" w:line="259" w:lineRule="auto"/>
              <w:ind w:left="0" w:right="49" w:firstLine="0"/>
              <w:jc w:val="right"/>
            </w:pPr>
            <w:r>
              <w:t xml:space="preserve">2006 </w:t>
            </w:r>
          </w:p>
        </w:tc>
        <w:tc>
          <w:tcPr>
            <w:tcW w:w="7230" w:type="dxa"/>
            <w:tcBorders>
              <w:top w:val="single" w:sz="4" w:space="0" w:color="000000"/>
              <w:left w:val="single" w:sz="4" w:space="0" w:color="000000"/>
              <w:bottom w:val="single" w:sz="4" w:space="0" w:color="000000"/>
              <w:right w:val="single" w:sz="4" w:space="0" w:color="000000"/>
            </w:tcBorders>
            <w:vAlign w:val="center"/>
          </w:tcPr>
          <w:p w14:paraId="69E2D7D0" w14:textId="77777777" w:rsidR="004A3CD3" w:rsidRDefault="006C0598">
            <w:pPr>
              <w:spacing w:after="0" w:line="259" w:lineRule="auto"/>
              <w:ind w:left="524" w:right="0" w:firstLine="0"/>
            </w:pPr>
            <w:r>
              <w:t xml:space="preserve">European Environmental Agency, </w:t>
            </w:r>
            <w:r>
              <w:rPr>
                <w:i/>
              </w:rPr>
              <w:t>The changing faces of Europe's coastal areas</w:t>
            </w:r>
            <w:r>
              <w:t xml:space="preserve">, Copenhagen, EEA Report no. 6/2006, 2006 </w:t>
            </w:r>
          </w:p>
        </w:tc>
      </w:tr>
      <w:tr w:rsidR="00E933CB" w14:paraId="09B02851"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09BBE96D"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D.2 </w:t>
            </w:r>
          </w:p>
        </w:tc>
        <w:tc>
          <w:tcPr>
            <w:tcW w:w="1277" w:type="dxa"/>
            <w:tcBorders>
              <w:top w:val="single" w:sz="4" w:space="0" w:color="000000"/>
              <w:left w:val="single" w:sz="4" w:space="0" w:color="000000"/>
              <w:bottom w:val="single" w:sz="4" w:space="0" w:color="000000"/>
              <w:right w:val="single" w:sz="4" w:space="0" w:color="000000"/>
            </w:tcBorders>
          </w:tcPr>
          <w:p w14:paraId="08F6BABD" w14:textId="77777777" w:rsidR="004A3CD3" w:rsidRDefault="006C0598">
            <w:pPr>
              <w:spacing w:after="0" w:line="259" w:lineRule="auto"/>
              <w:ind w:left="0" w:right="49" w:firstLine="0"/>
              <w:jc w:val="right"/>
            </w:pPr>
            <w:r>
              <w:t xml:space="preserve">2013 </w:t>
            </w:r>
          </w:p>
        </w:tc>
        <w:tc>
          <w:tcPr>
            <w:tcW w:w="7230" w:type="dxa"/>
            <w:tcBorders>
              <w:top w:val="single" w:sz="4" w:space="0" w:color="000000"/>
              <w:left w:val="single" w:sz="4" w:space="0" w:color="000000"/>
              <w:bottom w:val="single" w:sz="4" w:space="0" w:color="000000"/>
              <w:right w:val="single" w:sz="4" w:space="0" w:color="000000"/>
            </w:tcBorders>
            <w:vAlign w:val="center"/>
          </w:tcPr>
          <w:p w14:paraId="7C66AAB7" w14:textId="77777777" w:rsidR="004A3CD3" w:rsidRDefault="006C0598">
            <w:pPr>
              <w:spacing w:after="0" w:line="259" w:lineRule="auto"/>
              <w:ind w:left="524" w:right="0" w:firstLine="0"/>
            </w:pPr>
            <w:r>
              <w:t xml:space="preserve">European Environmental Agency, </w:t>
            </w:r>
            <w:r>
              <w:rPr>
                <w:i/>
              </w:rPr>
              <w:t>Trends and projections 2013</w:t>
            </w:r>
            <w:r>
              <w:t xml:space="preserve">, 9 October 2013 </w:t>
            </w:r>
          </w:p>
        </w:tc>
      </w:tr>
      <w:tr w:rsidR="00E933CB" w14:paraId="5483F29C"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46076C63"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D.3 </w:t>
            </w:r>
          </w:p>
        </w:tc>
        <w:tc>
          <w:tcPr>
            <w:tcW w:w="1277" w:type="dxa"/>
            <w:tcBorders>
              <w:top w:val="single" w:sz="4" w:space="0" w:color="000000"/>
              <w:left w:val="single" w:sz="4" w:space="0" w:color="000000"/>
              <w:bottom w:val="single" w:sz="4" w:space="0" w:color="000000"/>
              <w:right w:val="single" w:sz="4" w:space="0" w:color="000000"/>
            </w:tcBorders>
          </w:tcPr>
          <w:p w14:paraId="25D5FE50" w14:textId="77777777" w:rsidR="004A3CD3" w:rsidRDefault="006C0598">
            <w:pPr>
              <w:spacing w:after="0" w:line="259" w:lineRule="auto"/>
              <w:ind w:left="0" w:right="49"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vAlign w:val="center"/>
          </w:tcPr>
          <w:p w14:paraId="1D8A0F91" w14:textId="77777777" w:rsidR="004A3CD3" w:rsidRDefault="006C0598">
            <w:pPr>
              <w:spacing w:after="0" w:line="259" w:lineRule="auto"/>
              <w:ind w:left="524" w:right="0" w:firstLine="0"/>
            </w:pPr>
            <w:r>
              <w:t xml:space="preserve">European Environmental Agency, </w:t>
            </w:r>
            <w:r>
              <w:rPr>
                <w:i/>
              </w:rPr>
              <w:t>Trends and projections in Europe 2014</w:t>
            </w:r>
            <w:r>
              <w:t xml:space="preserve">, 28 October 2014 </w:t>
            </w:r>
          </w:p>
        </w:tc>
      </w:tr>
      <w:tr w:rsidR="00E933CB" w14:paraId="1859D584" w14:textId="77777777">
        <w:trPr>
          <w:trHeight w:val="1325"/>
        </w:trPr>
        <w:tc>
          <w:tcPr>
            <w:tcW w:w="674" w:type="dxa"/>
            <w:tcBorders>
              <w:top w:val="single" w:sz="4" w:space="0" w:color="000000"/>
              <w:left w:val="single" w:sz="4" w:space="0" w:color="000000"/>
              <w:bottom w:val="single" w:sz="4" w:space="0" w:color="000000"/>
              <w:right w:val="single" w:sz="4" w:space="0" w:color="000000"/>
            </w:tcBorders>
          </w:tcPr>
          <w:p w14:paraId="64FF28B4"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D.4 </w:t>
            </w:r>
          </w:p>
        </w:tc>
        <w:tc>
          <w:tcPr>
            <w:tcW w:w="1277" w:type="dxa"/>
            <w:tcBorders>
              <w:top w:val="single" w:sz="4" w:space="0" w:color="000000"/>
              <w:left w:val="single" w:sz="4" w:space="0" w:color="000000"/>
              <w:bottom w:val="single" w:sz="4" w:space="0" w:color="000000"/>
              <w:right w:val="single" w:sz="4" w:space="0" w:color="000000"/>
            </w:tcBorders>
          </w:tcPr>
          <w:p w14:paraId="2BC98005" w14:textId="77777777" w:rsidR="004A3CD3" w:rsidRDefault="006C0598">
            <w:pPr>
              <w:spacing w:after="0" w:line="259" w:lineRule="auto"/>
              <w:ind w:left="0" w:right="49"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vAlign w:val="center"/>
          </w:tcPr>
          <w:p w14:paraId="6C41189B" w14:textId="77777777" w:rsidR="004A3CD3" w:rsidRDefault="006C0598">
            <w:pPr>
              <w:spacing w:after="0" w:line="259" w:lineRule="auto"/>
              <w:ind w:left="524" w:right="79" w:firstLine="0"/>
            </w:pPr>
            <w:r>
              <w:t xml:space="preserve">European Commission, </w:t>
            </w:r>
            <w:r>
              <w:rPr>
                <w:i/>
              </w:rPr>
              <w:t>Report to the European Parliament and the Council. Progress towards achieving the Kyoto Protocol targets and the Union's 2020 target</w:t>
            </w:r>
            <w:r>
              <w:t xml:space="preserve">, 28 October 2014 </w:t>
            </w:r>
          </w:p>
        </w:tc>
      </w:tr>
      <w:tr w:rsidR="00E933CB" w14:paraId="07106CD9" w14:textId="77777777">
        <w:trPr>
          <w:trHeight w:val="1056"/>
        </w:trPr>
        <w:tc>
          <w:tcPr>
            <w:tcW w:w="674" w:type="dxa"/>
            <w:tcBorders>
              <w:top w:val="single" w:sz="4" w:space="0" w:color="000000"/>
              <w:left w:val="single" w:sz="4" w:space="0" w:color="000000"/>
              <w:bottom w:val="single" w:sz="4" w:space="0" w:color="000000"/>
              <w:right w:val="single" w:sz="4" w:space="0" w:color="000000"/>
            </w:tcBorders>
          </w:tcPr>
          <w:p w14:paraId="4960EF4F"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D.5 </w:t>
            </w:r>
          </w:p>
        </w:tc>
        <w:tc>
          <w:tcPr>
            <w:tcW w:w="1277" w:type="dxa"/>
            <w:tcBorders>
              <w:top w:val="single" w:sz="4" w:space="0" w:color="000000"/>
              <w:left w:val="single" w:sz="4" w:space="0" w:color="000000"/>
              <w:bottom w:val="single" w:sz="4" w:space="0" w:color="000000"/>
              <w:right w:val="single" w:sz="4" w:space="0" w:color="000000"/>
            </w:tcBorders>
          </w:tcPr>
          <w:p w14:paraId="26C9990B" w14:textId="77777777" w:rsidR="004A3CD3" w:rsidRDefault="006C0598">
            <w:pPr>
              <w:spacing w:after="0" w:line="259" w:lineRule="auto"/>
              <w:ind w:left="0" w:right="49" w:firstLine="0"/>
              <w:jc w:val="right"/>
            </w:pPr>
            <w:r>
              <w:t xml:space="preserve">2017 </w:t>
            </w:r>
          </w:p>
        </w:tc>
        <w:tc>
          <w:tcPr>
            <w:tcW w:w="7230" w:type="dxa"/>
            <w:tcBorders>
              <w:top w:val="single" w:sz="4" w:space="0" w:color="000000"/>
              <w:left w:val="single" w:sz="4" w:space="0" w:color="000000"/>
              <w:bottom w:val="single" w:sz="4" w:space="0" w:color="000000"/>
              <w:right w:val="single" w:sz="4" w:space="0" w:color="000000"/>
            </w:tcBorders>
            <w:vAlign w:val="center"/>
          </w:tcPr>
          <w:p w14:paraId="1F0111B1" w14:textId="77777777" w:rsidR="004A3CD3" w:rsidRDefault="006C0598">
            <w:pPr>
              <w:spacing w:after="0" w:line="259" w:lineRule="auto"/>
              <w:ind w:left="524" w:right="79" w:firstLine="0"/>
            </w:pPr>
            <w:r>
              <w:t xml:space="preserve">European Environmental Agency, </w:t>
            </w:r>
            <w:r>
              <w:rPr>
                <w:i/>
              </w:rPr>
              <w:t>Climate change, impacts and vulnerability in Europe 2016. An indicator-based report</w:t>
            </w:r>
            <w:r>
              <w:t xml:space="preserve">, Copenhagen, 2017 </w:t>
            </w:r>
          </w:p>
        </w:tc>
      </w:tr>
      <w:tr w:rsidR="00E933CB" w14:paraId="7B566D1F"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1C2C877E"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D.6 </w:t>
            </w:r>
          </w:p>
        </w:tc>
        <w:tc>
          <w:tcPr>
            <w:tcW w:w="1277" w:type="dxa"/>
            <w:tcBorders>
              <w:top w:val="single" w:sz="4" w:space="0" w:color="000000"/>
              <w:left w:val="single" w:sz="4" w:space="0" w:color="000000"/>
              <w:bottom w:val="single" w:sz="4" w:space="0" w:color="000000"/>
              <w:right w:val="single" w:sz="4" w:space="0" w:color="000000"/>
            </w:tcBorders>
          </w:tcPr>
          <w:p w14:paraId="7356AB43" w14:textId="77777777" w:rsidR="004A3CD3" w:rsidRDefault="006C0598">
            <w:pPr>
              <w:spacing w:after="0" w:line="259" w:lineRule="auto"/>
              <w:ind w:left="0" w:right="49"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vAlign w:val="center"/>
          </w:tcPr>
          <w:p w14:paraId="5EF515E9" w14:textId="77777777" w:rsidR="004A3CD3" w:rsidRDefault="006C0598">
            <w:pPr>
              <w:spacing w:after="0" w:line="259" w:lineRule="auto"/>
              <w:ind w:left="524" w:right="0" w:firstLine="0"/>
            </w:pPr>
            <w:r>
              <w:t xml:space="preserve">CLIMACT, Net zero by 2050: from whether to how. Zero emission pathways for the Europe we want, September 2018 </w:t>
            </w:r>
          </w:p>
        </w:tc>
      </w:tr>
    </w:tbl>
    <w:p w14:paraId="3DA54A87" w14:textId="77777777" w:rsidR="00E933CB" w:rsidRDefault="00825B93">
      <w:pPr>
        <w:spacing w:after="98" w:line="259" w:lineRule="auto"/>
        <w:ind w:left="1030" w:right="0" w:firstLine="0"/>
      </w:pPr>
      <w:r>
        <w:t xml:space="preserve"> </w:t>
      </w:r>
    </w:p>
    <w:p w14:paraId="0928F816" w14:textId="77777777" w:rsidR="00E933CB" w:rsidRDefault="00825B93">
      <w:pPr>
        <w:spacing w:after="98" w:line="259" w:lineRule="auto"/>
        <w:ind w:left="1030" w:right="0" w:firstLine="0"/>
      </w:pPr>
      <w:r>
        <w:t xml:space="preserve"> </w:t>
      </w:r>
    </w:p>
    <w:p w14:paraId="03C20BB5" w14:textId="77777777" w:rsidR="00E933CB" w:rsidRDefault="00825B93">
      <w:pPr>
        <w:spacing w:after="0" w:line="259" w:lineRule="auto"/>
        <w:ind w:left="1030" w:right="0" w:firstLine="0"/>
      </w:pPr>
      <w:r>
        <w:t xml:space="preserve"> </w:t>
      </w:r>
    </w:p>
    <w:tbl>
      <w:tblPr>
        <w:tblStyle w:val="TableGrid"/>
        <w:tblW w:w="9182" w:type="dxa"/>
        <w:tblInd w:w="468" w:type="dxa"/>
        <w:tblCellMar>
          <w:top w:w="48" w:type="dxa"/>
          <w:left w:w="108" w:type="dxa"/>
          <w:right w:w="92" w:type="dxa"/>
        </w:tblCellMar>
        <w:tblLook w:val="04A0" w:firstRow="1" w:lastRow="0" w:firstColumn="1" w:lastColumn="0" w:noHBand="0" w:noVBand="1"/>
      </w:tblPr>
      <w:tblGrid>
        <w:gridCol w:w="674"/>
        <w:gridCol w:w="1277"/>
        <w:gridCol w:w="7231"/>
      </w:tblGrid>
      <w:tr w:rsidR="00E933CB" w14:paraId="7D68411B" w14:textId="77777777">
        <w:trPr>
          <w:trHeight w:val="571"/>
        </w:trPr>
        <w:tc>
          <w:tcPr>
            <w:tcW w:w="674" w:type="dxa"/>
            <w:tcBorders>
              <w:top w:val="single" w:sz="4" w:space="0" w:color="000000"/>
              <w:left w:val="single" w:sz="4" w:space="0" w:color="000000"/>
              <w:bottom w:val="single" w:sz="4" w:space="0" w:color="000000"/>
              <w:right w:val="nil"/>
            </w:tcBorders>
          </w:tcPr>
          <w:p w14:paraId="4647DC92" w14:textId="77777777" w:rsidR="00E933CB" w:rsidRDefault="00E933CB">
            <w:pPr>
              <w:spacing w:after="160" w:line="259" w:lineRule="auto"/>
              <w:ind w:left="0" w:right="0" w:firstLine="0"/>
              <w:jc w:val="left"/>
            </w:pPr>
          </w:p>
        </w:tc>
        <w:tc>
          <w:tcPr>
            <w:tcW w:w="8507" w:type="dxa"/>
            <w:gridSpan w:val="2"/>
            <w:tcBorders>
              <w:top w:val="single" w:sz="4" w:space="0" w:color="000000"/>
              <w:left w:val="nil"/>
              <w:bottom w:val="single" w:sz="4" w:space="0" w:color="000000"/>
              <w:right w:val="single" w:sz="4" w:space="0" w:color="000000"/>
            </w:tcBorders>
          </w:tcPr>
          <w:p w14:paraId="4DE5A142" w14:textId="77777777" w:rsidR="004A3CD3" w:rsidRDefault="006C0598">
            <w:pPr>
              <w:spacing w:after="0" w:line="259" w:lineRule="auto"/>
              <w:ind w:left="67" w:right="0" w:firstLine="0"/>
              <w:jc w:val="left"/>
            </w:pPr>
            <w:r>
              <w:rPr>
                <w:b/>
                <w:sz w:val="40"/>
              </w:rPr>
              <w:t xml:space="preserve">E. </w:t>
            </w:r>
            <w:r>
              <w:rPr>
                <w:b/>
                <w:sz w:val="40"/>
                <w:u w:val="single" w:color="000000"/>
              </w:rPr>
              <w:t xml:space="preserve">International scientific literature </w:t>
            </w:r>
          </w:p>
        </w:tc>
      </w:tr>
      <w:tr w:rsidR="00E933CB" w14:paraId="5609E91A" w14:textId="77777777">
        <w:trPr>
          <w:trHeight w:val="518"/>
        </w:trPr>
        <w:tc>
          <w:tcPr>
            <w:tcW w:w="674" w:type="dxa"/>
            <w:tcBorders>
              <w:top w:val="single" w:sz="4" w:space="0" w:color="000000"/>
              <w:left w:val="single" w:sz="4" w:space="0" w:color="000000"/>
              <w:bottom w:val="single" w:sz="4" w:space="0" w:color="000000"/>
              <w:right w:val="single" w:sz="4" w:space="0" w:color="000000"/>
            </w:tcBorders>
            <w:vAlign w:val="center"/>
          </w:tcPr>
          <w:p w14:paraId="2396AABC" w14:textId="77777777" w:rsidR="00E933CB" w:rsidRDefault="00825B93">
            <w:pPr>
              <w:spacing w:after="0" w:line="259" w:lineRule="auto"/>
              <w:ind w:left="142"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6620C6EF" w14:textId="77777777" w:rsidR="004A3CD3" w:rsidRDefault="006C0598">
            <w:pPr>
              <w:spacing w:after="0" w:line="259" w:lineRule="auto"/>
              <w:ind w:left="0" w:right="76" w:firstLine="0"/>
              <w:jc w:val="right"/>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vAlign w:val="center"/>
          </w:tcPr>
          <w:p w14:paraId="127CBA76" w14:textId="77777777" w:rsidR="004A3CD3" w:rsidRDefault="006C0598">
            <w:pPr>
              <w:spacing w:after="0" w:line="259" w:lineRule="auto"/>
              <w:ind w:left="567" w:right="0" w:firstLine="0"/>
              <w:jc w:val="left"/>
            </w:pPr>
            <w:r>
              <w:rPr>
                <w:b/>
              </w:rPr>
              <w:t xml:space="preserve">Description </w:t>
            </w:r>
          </w:p>
        </w:tc>
      </w:tr>
      <w:tr w:rsidR="00E933CB" w14:paraId="1CE2CDAC"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5540790A" w14:textId="77777777" w:rsidR="004A3CD3" w:rsidRDefault="006C0598">
            <w:pPr>
              <w:spacing w:after="0" w:line="259" w:lineRule="auto"/>
              <w:ind w:left="0" w:right="84" w:firstLine="0"/>
              <w:jc w:val="center"/>
            </w:pPr>
            <w:r>
              <w:rPr>
                <w:rFonts w:ascii="Century Gothic" w:eastAsia="Century Gothic" w:hAnsi="Century Gothic" w:cs="Century Gothic"/>
                <w:b/>
                <w:sz w:val="20"/>
              </w:rPr>
              <w:t xml:space="preserve">E.1 </w:t>
            </w:r>
          </w:p>
        </w:tc>
        <w:tc>
          <w:tcPr>
            <w:tcW w:w="1277" w:type="dxa"/>
            <w:tcBorders>
              <w:top w:val="single" w:sz="4" w:space="0" w:color="000000"/>
              <w:left w:val="single" w:sz="4" w:space="0" w:color="000000"/>
              <w:bottom w:val="single" w:sz="4" w:space="0" w:color="000000"/>
              <w:right w:val="single" w:sz="4" w:space="0" w:color="000000"/>
            </w:tcBorders>
          </w:tcPr>
          <w:p w14:paraId="2570525F" w14:textId="77777777" w:rsidR="004A3CD3" w:rsidRDefault="006C0598">
            <w:pPr>
              <w:spacing w:after="0" w:line="259" w:lineRule="auto"/>
              <w:ind w:left="0" w:right="49" w:firstLine="0"/>
              <w:jc w:val="right"/>
            </w:pPr>
            <w:r>
              <w:t xml:space="preserve">1990 </w:t>
            </w:r>
          </w:p>
        </w:tc>
        <w:tc>
          <w:tcPr>
            <w:tcW w:w="7230" w:type="dxa"/>
            <w:tcBorders>
              <w:top w:val="single" w:sz="4" w:space="0" w:color="000000"/>
              <w:left w:val="single" w:sz="4" w:space="0" w:color="000000"/>
              <w:bottom w:val="single" w:sz="4" w:space="0" w:color="000000"/>
              <w:right w:val="single" w:sz="4" w:space="0" w:color="000000"/>
            </w:tcBorders>
          </w:tcPr>
          <w:p w14:paraId="6114C2E7" w14:textId="77777777" w:rsidR="004A3CD3" w:rsidRDefault="006C0598">
            <w:pPr>
              <w:spacing w:after="19" w:line="259" w:lineRule="auto"/>
              <w:ind w:left="0" w:right="0" w:firstLine="0"/>
              <w:jc w:val="left"/>
            </w:pPr>
            <w:r>
              <w:t xml:space="preserve">F.R. RIJSBERMAN and R.J. SWART (eds.), </w:t>
            </w:r>
            <w:r>
              <w:rPr>
                <w:i/>
              </w:rPr>
              <w:t xml:space="preserve">Targets and Indicators of Climatic </w:t>
            </w:r>
          </w:p>
          <w:p w14:paraId="74860130" w14:textId="77777777" w:rsidR="004A3CD3" w:rsidRDefault="006C0598">
            <w:pPr>
              <w:spacing w:after="16" w:line="259" w:lineRule="auto"/>
              <w:ind w:left="0" w:right="0" w:firstLine="0"/>
              <w:jc w:val="left"/>
            </w:pPr>
            <w:r>
              <w:rPr>
                <w:i/>
              </w:rPr>
              <w:t xml:space="preserve">Change. Report of Working Group II of the Advisory Group on Greenhouse </w:t>
            </w:r>
          </w:p>
          <w:p w14:paraId="53E89682" w14:textId="77777777" w:rsidR="004A3CD3" w:rsidRDefault="006C0598">
            <w:pPr>
              <w:spacing w:after="0" w:line="259" w:lineRule="auto"/>
              <w:ind w:left="0" w:right="0" w:firstLine="0"/>
              <w:jc w:val="left"/>
            </w:pPr>
            <w:r>
              <w:rPr>
                <w:i/>
              </w:rPr>
              <w:t>Gases</w:t>
            </w:r>
            <w:r>
              <w:t xml:space="preserve">, Stockholm, Stockholm Environment Institute, 1990 </w:t>
            </w:r>
          </w:p>
        </w:tc>
      </w:tr>
      <w:tr w:rsidR="00E933CB" w14:paraId="1825068F"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43F90E29" w14:textId="77777777" w:rsidR="004A3CD3" w:rsidRDefault="006C0598">
            <w:pPr>
              <w:spacing w:after="0" w:line="259" w:lineRule="auto"/>
              <w:ind w:left="0" w:right="84" w:firstLine="0"/>
              <w:jc w:val="center"/>
            </w:pPr>
            <w:r>
              <w:rPr>
                <w:rFonts w:ascii="Century Gothic" w:eastAsia="Century Gothic" w:hAnsi="Century Gothic" w:cs="Century Gothic"/>
                <w:b/>
                <w:sz w:val="20"/>
              </w:rPr>
              <w:t xml:space="preserve">E.2 </w:t>
            </w:r>
          </w:p>
        </w:tc>
        <w:tc>
          <w:tcPr>
            <w:tcW w:w="1277" w:type="dxa"/>
            <w:tcBorders>
              <w:top w:val="single" w:sz="4" w:space="0" w:color="000000"/>
              <w:left w:val="single" w:sz="4" w:space="0" w:color="000000"/>
              <w:bottom w:val="single" w:sz="4" w:space="0" w:color="000000"/>
              <w:right w:val="single" w:sz="4" w:space="0" w:color="000000"/>
            </w:tcBorders>
          </w:tcPr>
          <w:p w14:paraId="44A10A18" w14:textId="77777777" w:rsidR="004A3CD3" w:rsidRDefault="006C0598">
            <w:pPr>
              <w:spacing w:after="0" w:line="259" w:lineRule="auto"/>
              <w:ind w:left="0" w:right="49" w:firstLine="0"/>
              <w:jc w:val="right"/>
            </w:pPr>
            <w:r>
              <w:t xml:space="preserve">2006 </w:t>
            </w:r>
          </w:p>
        </w:tc>
        <w:tc>
          <w:tcPr>
            <w:tcW w:w="7230" w:type="dxa"/>
            <w:tcBorders>
              <w:top w:val="single" w:sz="4" w:space="0" w:color="000000"/>
              <w:left w:val="single" w:sz="4" w:space="0" w:color="000000"/>
              <w:bottom w:val="single" w:sz="4" w:space="0" w:color="000000"/>
              <w:right w:val="single" w:sz="4" w:space="0" w:color="000000"/>
            </w:tcBorders>
          </w:tcPr>
          <w:p w14:paraId="710D1455" w14:textId="77777777" w:rsidR="004A3CD3" w:rsidRDefault="006C0598">
            <w:pPr>
              <w:spacing w:after="19" w:line="259" w:lineRule="auto"/>
              <w:ind w:left="0" w:right="0" w:firstLine="0"/>
              <w:jc w:val="left"/>
            </w:pPr>
            <w:r>
              <w:t xml:space="preserve">N. Stern, </w:t>
            </w:r>
            <w:r>
              <w:rPr>
                <w:i/>
              </w:rPr>
              <w:t>the Economics of Climate Change - The Stern Review</w:t>
            </w:r>
            <w:r>
              <w:t xml:space="preserve">, Cambridge, </w:t>
            </w:r>
          </w:p>
          <w:p w14:paraId="1DD1E403" w14:textId="77777777" w:rsidR="004A3CD3" w:rsidRDefault="006C0598">
            <w:pPr>
              <w:spacing w:after="0" w:line="259" w:lineRule="auto"/>
              <w:ind w:left="0" w:right="0" w:firstLine="0"/>
              <w:jc w:val="left"/>
            </w:pPr>
            <w:r>
              <w:t xml:space="preserve">2006 </w:t>
            </w:r>
          </w:p>
        </w:tc>
      </w:tr>
      <w:tr w:rsidR="00E933CB" w14:paraId="3F123A46"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5F7949A7" w14:textId="77777777" w:rsidR="004A3CD3" w:rsidRDefault="006C0598">
            <w:pPr>
              <w:spacing w:after="0" w:line="259" w:lineRule="auto"/>
              <w:ind w:left="0" w:right="84" w:firstLine="0"/>
              <w:jc w:val="center"/>
            </w:pPr>
            <w:r>
              <w:rPr>
                <w:rFonts w:ascii="Century Gothic" w:eastAsia="Century Gothic" w:hAnsi="Century Gothic" w:cs="Century Gothic"/>
                <w:b/>
                <w:sz w:val="20"/>
              </w:rPr>
              <w:t xml:space="preserve">E.3 </w:t>
            </w:r>
          </w:p>
        </w:tc>
        <w:tc>
          <w:tcPr>
            <w:tcW w:w="1277" w:type="dxa"/>
            <w:tcBorders>
              <w:top w:val="single" w:sz="4" w:space="0" w:color="000000"/>
              <w:left w:val="single" w:sz="4" w:space="0" w:color="000000"/>
              <w:bottom w:val="single" w:sz="4" w:space="0" w:color="000000"/>
              <w:right w:val="single" w:sz="4" w:space="0" w:color="000000"/>
            </w:tcBorders>
          </w:tcPr>
          <w:p w14:paraId="4B0B843A" w14:textId="77777777" w:rsidR="004A3CD3" w:rsidRDefault="006C0598">
            <w:pPr>
              <w:spacing w:after="0" w:line="259" w:lineRule="auto"/>
              <w:ind w:left="0" w:right="49"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13DC88E1" w14:textId="77777777" w:rsidR="004A3CD3" w:rsidRDefault="006C0598">
            <w:pPr>
              <w:spacing w:after="0" w:line="276" w:lineRule="auto"/>
              <w:ind w:left="0" w:right="0" w:firstLine="0"/>
            </w:pPr>
            <w:r>
              <w:t xml:space="preserve">Environmental Protection Agency (EPA) "Endangement and Cause or Contribute Findings for Greenhouse Gases Under Section 2020(a) of the Clean </w:t>
            </w:r>
          </w:p>
          <w:p w14:paraId="0E7BD11F" w14:textId="77777777" w:rsidR="004A3CD3" w:rsidRDefault="006C0598">
            <w:pPr>
              <w:spacing w:after="0" w:line="259" w:lineRule="auto"/>
              <w:ind w:left="0" w:right="0" w:firstLine="0"/>
              <w:jc w:val="left"/>
            </w:pPr>
            <w:r>
              <w:t xml:space="preserve">Air Act; Final Rule", 15 December 2009 </w:t>
            </w:r>
          </w:p>
        </w:tc>
      </w:tr>
      <w:tr w:rsidR="00E933CB" w14:paraId="4AD5544B" w14:textId="77777777">
        <w:trPr>
          <w:trHeight w:val="627"/>
        </w:trPr>
        <w:tc>
          <w:tcPr>
            <w:tcW w:w="674" w:type="dxa"/>
            <w:tcBorders>
              <w:top w:val="single" w:sz="4" w:space="0" w:color="000000"/>
              <w:left w:val="single" w:sz="4" w:space="0" w:color="000000"/>
              <w:bottom w:val="single" w:sz="4" w:space="0" w:color="000000"/>
              <w:right w:val="single" w:sz="4" w:space="0" w:color="000000"/>
            </w:tcBorders>
          </w:tcPr>
          <w:p w14:paraId="3952691F" w14:textId="77777777" w:rsidR="004A3CD3" w:rsidRDefault="006C0598">
            <w:pPr>
              <w:spacing w:after="0" w:line="259" w:lineRule="auto"/>
              <w:ind w:left="0" w:right="84" w:firstLine="0"/>
              <w:jc w:val="center"/>
            </w:pPr>
            <w:r>
              <w:rPr>
                <w:rFonts w:ascii="Century Gothic" w:eastAsia="Century Gothic" w:hAnsi="Century Gothic" w:cs="Century Gothic"/>
                <w:b/>
                <w:sz w:val="20"/>
              </w:rPr>
              <w:t xml:space="preserve">E.4 </w:t>
            </w:r>
          </w:p>
        </w:tc>
        <w:tc>
          <w:tcPr>
            <w:tcW w:w="1277" w:type="dxa"/>
            <w:tcBorders>
              <w:top w:val="single" w:sz="4" w:space="0" w:color="000000"/>
              <w:left w:val="single" w:sz="4" w:space="0" w:color="000000"/>
              <w:bottom w:val="single" w:sz="4" w:space="0" w:color="000000"/>
              <w:right w:val="single" w:sz="4" w:space="0" w:color="000000"/>
            </w:tcBorders>
          </w:tcPr>
          <w:p w14:paraId="29978E00" w14:textId="77777777" w:rsidR="004A3CD3" w:rsidRDefault="006C0598">
            <w:pPr>
              <w:spacing w:after="0" w:line="259" w:lineRule="auto"/>
              <w:ind w:left="0" w:right="49"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362F5145" w14:textId="77777777" w:rsidR="004A3CD3" w:rsidRDefault="006C0598">
            <w:pPr>
              <w:spacing w:after="19" w:line="259" w:lineRule="auto"/>
              <w:ind w:left="0" w:right="0" w:firstLine="0"/>
              <w:jc w:val="left"/>
            </w:pPr>
            <w:r>
              <w:t xml:space="preserve">International Energy Agency, Energy Policies of IEA Countries - Belgium </w:t>
            </w:r>
          </w:p>
          <w:p w14:paraId="504D918B" w14:textId="77777777" w:rsidR="004A3CD3" w:rsidRDefault="006C0598">
            <w:pPr>
              <w:spacing w:after="0" w:line="259" w:lineRule="auto"/>
              <w:ind w:left="0" w:right="0" w:firstLine="0"/>
              <w:jc w:val="left"/>
            </w:pPr>
            <w:r>
              <w:t xml:space="preserve">(excerpt) </w:t>
            </w:r>
          </w:p>
        </w:tc>
      </w:tr>
      <w:tr w:rsidR="00E933CB" w14:paraId="1725642E"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750F9011" w14:textId="77777777" w:rsidR="004A3CD3" w:rsidRDefault="006C0598">
            <w:pPr>
              <w:spacing w:after="0" w:line="259" w:lineRule="auto"/>
              <w:ind w:left="0" w:right="84" w:firstLine="0"/>
              <w:jc w:val="center"/>
            </w:pPr>
            <w:r>
              <w:rPr>
                <w:rFonts w:ascii="Century Gothic" w:eastAsia="Century Gothic" w:hAnsi="Century Gothic" w:cs="Century Gothic"/>
                <w:b/>
                <w:sz w:val="20"/>
              </w:rPr>
              <w:t xml:space="preserve">E.5 </w:t>
            </w:r>
          </w:p>
        </w:tc>
        <w:tc>
          <w:tcPr>
            <w:tcW w:w="1277" w:type="dxa"/>
            <w:tcBorders>
              <w:top w:val="single" w:sz="4" w:space="0" w:color="000000"/>
              <w:left w:val="single" w:sz="4" w:space="0" w:color="000000"/>
              <w:bottom w:val="single" w:sz="4" w:space="0" w:color="000000"/>
              <w:right w:val="single" w:sz="4" w:space="0" w:color="000000"/>
            </w:tcBorders>
          </w:tcPr>
          <w:p w14:paraId="7116DFAC" w14:textId="77777777" w:rsidR="004A3CD3" w:rsidRDefault="006C0598">
            <w:pPr>
              <w:spacing w:after="0" w:line="259" w:lineRule="auto"/>
              <w:ind w:left="0" w:right="49"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158FC14C" w14:textId="77777777" w:rsidR="004A3CD3" w:rsidRDefault="006C0598">
            <w:pPr>
              <w:spacing w:after="16" w:line="259" w:lineRule="auto"/>
              <w:ind w:left="0" w:right="0" w:firstLine="0"/>
              <w:jc w:val="left"/>
            </w:pPr>
            <w:r>
              <w:t xml:space="preserve">R. Lindsey, 'Climate change: Atmospheric Carbon Dioxide', </w:t>
            </w:r>
            <w:r>
              <w:rPr>
                <w:i/>
              </w:rPr>
              <w:t xml:space="preserve">NOAA, climate.gov, </w:t>
            </w:r>
          </w:p>
          <w:p w14:paraId="46F7452B" w14:textId="77777777" w:rsidR="004A3CD3" w:rsidRDefault="006C0598">
            <w:pPr>
              <w:spacing w:after="0" w:line="259" w:lineRule="auto"/>
              <w:ind w:left="0" w:right="0" w:firstLine="0"/>
              <w:jc w:val="left"/>
            </w:pPr>
            <w:r>
              <w:t xml:space="preserve">19 September 2019 </w:t>
            </w:r>
          </w:p>
        </w:tc>
      </w:tr>
      <w:tr w:rsidR="00E933CB" w14:paraId="127EEC0B"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1080FF39" w14:textId="77777777" w:rsidR="004A3CD3" w:rsidRDefault="006C0598">
            <w:pPr>
              <w:spacing w:after="0" w:line="259" w:lineRule="auto"/>
              <w:ind w:left="0" w:right="84" w:firstLine="0"/>
              <w:jc w:val="center"/>
            </w:pPr>
            <w:r>
              <w:rPr>
                <w:rFonts w:ascii="Century Gothic" w:eastAsia="Century Gothic" w:hAnsi="Century Gothic" w:cs="Century Gothic"/>
                <w:b/>
                <w:sz w:val="20"/>
              </w:rPr>
              <w:t xml:space="preserve">E.6 </w:t>
            </w:r>
          </w:p>
        </w:tc>
        <w:tc>
          <w:tcPr>
            <w:tcW w:w="1277" w:type="dxa"/>
            <w:tcBorders>
              <w:top w:val="single" w:sz="4" w:space="0" w:color="000000"/>
              <w:left w:val="single" w:sz="4" w:space="0" w:color="000000"/>
              <w:bottom w:val="single" w:sz="4" w:space="0" w:color="000000"/>
              <w:right w:val="single" w:sz="4" w:space="0" w:color="000000"/>
            </w:tcBorders>
          </w:tcPr>
          <w:p w14:paraId="3FCBDE43" w14:textId="77777777" w:rsidR="004A3CD3" w:rsidRDefault="006C0598">
            <w:pPr>
              <w:spacing w:after="0" w:line="259" w:lineRule="auto"/>
              <w:ind w:left="0" w:right="49" w:firstLine="0"/>
              <w:jc w:val="right"/>
            </w:pPr>
            <w:r>
              <w:t xml:space="preserve">2010 </w:t>
            </w:r>
          </w:p>
        </w:tc>
        <w:tc>
          <w:tcPr>
            <w:tcW w:w="7230" w:type="dxa"/>
            <w:tcBorders>
              <w:top w:val="single" w:sz="4" w:space="0" w:color="000000"/>
              <w:left w:val="single" w:sz="4" w:space="0" w:color="000000"/>
              <w:bottom w:val="single" w:sz="4" w:space="0" w:color="000000"/>
              <w:right w:val="single" w:sz="4" w:space="0" w:color="000000"/>
            </w:tcBorders>
          </w:tcPr>
          <w:p w14:paraId="0B1A7ECB" w14:textId="77777777" w:rsidR="004A3CD3" w:rsidRDefault="006C0598">
            <w:pPr>
              <w:spacing w:after="0" w:line="259" w:lineRule="auto"/>
              <w:ind w:left="0" w:right="0" w:firstLine="0"/>
              <w:jc w:val="left"/>
            </w:pPr>
            <w:r>
              <w:t xml:space="preserve">UNEP, </w:t>
            </w:r>
            <w:r>
              <w:rPr>
                <w:i/>
              </w:rPr>
              <w:t>The Emissions Gap Report</w:t>
            </w:r>
            <w:r>
              <w:t xml:space="preserve">, executive summary, 2010 </w:t>
            </w:r>
          </w:p>
        </w:tc>
      </w:tr>
      <w:tr w:rsidR="00E933CB" w14:paraId="3EF3EFD0"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2A32219D" w14:textId="77777777" w:rsidR="004A3CD3" w:rsidRDefault="006C0598">
            <w:pPr>
              <w:spacing w:after="0" w:line="259" w:lineRule="auto"/>
              <w:ind w:left="0" w:right="84" w:firstLine="0"/>
              <w:jc w:val="center"/>
            </w:pPr>
            <w:r>
              <w:rPr>
                <w:rFonts w:ascii="Century Gothic" w:eastAsia="Century Gothic" w:hAnsi="Century Gothic" w:cs="Century Gothic"/>
                <w:b/>
                <w:sz w:val="20"/>
              </w:rPr>
              <w:t xml:space="preserve">E.7 </w:t>
            </w:r>
          </w:p>
        </w:tc>
        <w:tc>
          <w:tcPr>
            <w:tcW w:w="1277" w:type="dxa"/>
            <w:tcBorders>
              <w:top w:val="single" w:sz="4" w:space="0" w:color="000000"/>
              <w:left w:val="single" w:sz="4" w:space="0" w:color="000000"/>
              <w:bottom w:val="single" w:sz="4" w:space="0" w:color="000000"/>
              <w:right w:val="single" w:sz="4" w:space="0" w:color="000000"/>
            </w:tcBorders>
          </w:tcPr>
          <w:p w14:paraId="60403FAD" w14:textId="77777777" w:rsidR="004A3CD3" w:rsidRDefault="006C0598">
            <w:pPr>
              <w:spacing w:after="0" w:line="259" w:lineRule="auto"/>
              <w:ind w:left="0" w:right="49" w:firstLine="0"/>
              <w:jc w:val="right"/>
            </w:pPr>
            <w:r>
              <w:t xml:space="preserve">2011 </w:t>
            </w:r>
          </w:p>
        </w:tc>
        <w:tc>
          <w:tcPr>
            <w:tcW w:w="7230" w:type="dxa"/>
            <w:tcBorders>
              <w:top w:val="single" w:sz="4" w:space="0" w:color="000000"/>
              <w:left w:val="single" w:sz="4" w:space="0" w:color="000000"/>
              <w:bottom w:val="single" w:sz="4" w:space="0" w:color="000000"/>
              <w:right w:val="single" w:sz="4" w:space="0" w:color="000000"/>
            </w:tcBorders>
          </w:tcPr>
          <w:p w14:paraId="1BD7C02B" w14:textId="77777777" w:rsidR="004A3CD3" w:rsidRDefault="006C0598">
            <w:pPr>
              <w:spacing w:after="0" w:line="259" w:lineRule="auto"/>
              <w:ind w:left="0" w:right="0" w:firstLine="0"/>
              <w:jc w:val="left"/>
            </w:pPr>
            <w:r>
              <w:t xml:space="preserve">International Energy Agency, World Energy Outlook (summary), November 2011 </w:t>
            </w:r>
          </w:p>
        </w:tc>
      </w:tr>
      <w:tr w:rsidR="00E933CB" w14:paraId="6217B4DF"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2F43CF43" w14:textId="77777777" w:rsidR="004A3CD3" w:rsidRDefault="006C0598">
            <w:pPr>
              <w:spacing w:after="0" w:line="259" w:lineRule="auto"/>
              <w:ind w:left="0" w:right="84" w:firstLine="0"/>
              <w:jc w:val="center"/>
            </w:pPr>
            <w:r>
              <w:rPr>
                <w:rFonts w:ascii="Century Gothic" w:eastAsia="Century Gothic" w:hAnsi="Century Gothic" w:cs="Century Gothic"/>
                <w:b/>
                <w:sz w:val="20"/>
              </w:rPr>
              <w:t xml:space="preserve">E.8 </w:t>
            </w:r>
          </w:p>
        </w:tc>
        <w:tc>
          <w:tcPr>
            <w:tcW w:w="1277" w:type="dxa"/>
            <w:tcBorders>
              <w:top w:val="single" w:sz="4" w:space="0" w:color="000000"/>
              <w:left w:val="single" w:sz="4" w:space="0" w:color="000000"/>
              <w:bottom w:val="single" w:sz="4" w:space="0" w:color="000000"/>
              <w:right w:val="single" w:sz="4" w:space="0" w:color="000000"/>
            </w:tcBorders>
          </w:tcPr>
          <w:p w14:paraId="577308DE" w14:textId="77777777" w:rsidR="004A3CD3" w:rsidRDefault="006C0598">
            <w:pPr>
              <w:spacing w:after="0" w:line="259" w:lineRule="auto"/>
              <w:ind w:left="0" w:right="49" w:firstLine="0"/>
              <w:jc w:val="right"/>
            </w:pPr>
            <w:r>
              <w:t xml:space="preserve">2011 </w:t>
            </w:r>
          </w:p>
        </w:tc>
        <w:tc>
          <w:tcPr>
            <w:tcW w:w="7230" w:type="dxa"/>
            <w:tcBorders>
              <w:top w:val="single" w:sz="4" w:space="0" w:color="000000"/>
              <w:left w:val="single" w:sz="4" w:space="0" w:color="000000"/>
              <w:bottom w:val="single" w:sz="4" w:space="0" w:color="000000"/>
              <w:right w:val="single" w:sz="4" w:space="0" w:color="000000"/>
            </w:tcBorders>
          </w:tcPr>
          <w:p w14:paraId="73280A15" w14:textId="77777777" w:rsidR="004A3CD3" w:rsidRDefault="006C0598">
            <w:pPr>
              <w:spacing w:after="0" w:line="259" w:lineRule="auto"/>
              <w:ind w:left="0" w:right="0" w:firstLine="0"/>
              <w:jc w:val="left"/>
            </w:pPr>
            <w:r>
              <w:t xml:space="preserve">UNEP, </w:t>
            </w:r>
            <w:r>
              <w:rPr>
                <w:i/>
              </w:rPr>
              <w:t>The Emissions Gap Report</w:t>
            </w:r>
            <w:r>
              <w:t xml:space="preserve">, executive summary, 2011 </w:t>
            </w:r>
          </w:p>
        </w:tc>
      </w:tr>
      <w:tr w:rsidR="00E933CB" w14:paraId="1DE8EEA5"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4282C8EC" w14:textId="77777777" w:rsidR="004A3CD3" w:rsidRDefault="006C0598">
            <w:pPr>
              <w:spacing w:after="0" w:line="259" w:lineRule="auto"/>
              <w:ind w:left="0" w:right="84" w:firstLine="0"/>
              <w:jc w:val="center"/>
            </w:pPr>
            <w:r>
              <w:rPr>
                <w:rFonts w:ascii="Century Gothic" w:eastAsia="Century Gothic" w:hAnsi="Century Gothic" w:cs="Century Gothic"/>
                <w:b/>
                <w:sz w:val="20"/>
              </w:rPr>
              <w:t xml:space="preserve">E.9 </w:t>
            </w:r>
          </w:p>
        </w:tc>
        <w:tc>
          <w:tcPr>
            <w:tcW w:w="1277" w:type="dxa"/>
            <w:tcBorders>
              <w:top w:val="single" w:sz="4" w:space="0" w:color="000000"/>
              <w:left w:val="single" w:sz="4" w:space="0" w:color="000000"/>
              <w:bottom w:val="single" w:sz="4" w:space="0" w:color="000000"/>
              <w:right w:val="single" w:sz="4" w:space="0" w:color="000000"/>
            </w:tcBorders>
          </w:tcPr>
          <w:p w14:paraId="2E62CD84" w14:textId="77777777" w:rsidR="004A3CD3" w:rsidRDefault="006C0598">
            <w:pPr>
              <w:spacing w:after="0" w:line="259" w:lineRule="auto"/>
              <w:ind w:left="0" w:right="49" w:firstLine="0"/>
              <w:jc w:val="right"/>
            </w:pPr>
            <w:r>
              <w:t xml:space="preserve">2012 </w:t>
            </w:r>
          </w:p>
        </w:tc>
        <w:tc>
          <w:tcPr>
            <w:tcW w:w="7230" w:type="dxa"/>
            <w:tcBorders>
              <w:top w:val="single" w:sz="4" w:space="0" w:color="000000"/>
              <w:left w:val="single" w:sz="4" w:space="0" w:color="000000"/>
              <w:bottom w:val="single" w:sz="4" w:space="0" w:color="000000"/>
              <w:right w:val="single" w:sz="4" w:space="0" w:color="000000"/>
            </w:tcBorders>
            <w:vAlign w:val="center"/>
          </w:tcPr>
          <w:p w14:paraId="1F731B3E" w14:textId="77777777" w:rsidR="004A3CD3" w:rsidRDefault="006C0598">
            <w:pPr>
              <w:spacing w:after="0" w:line="259" w:lineRule="auto"/>
              <w:ind w:left="0" w:right="0" w:firstLine="0"/>
              <w:jc w:val="left"/>
            </w:pPr>
            <w:r>
              <w:t xml:space="preserve">World Bank, Turning Down the Heat (Executive Summary), November 2012 </w:t>
            </w:r>
          </w:p>
        </w:tc>
      </w:tr>
      <w:tr w:rsidR="00E933CB" w14:paraId="55C916FF"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0C17F09C" w14:textId="77777777" w:rsidR="004A3CD3" w:rsidRDefault="006C0598">
            <w:pPr>
              <w:spacing w:after="0" w:line="259" w:lineRule="auto"/>
              <w:ind w:left="5" w:right="0" w:firstLine="0"/>
              <w:jc w:val="left"/>
            </w:pPr>
            <w:r>
              <w:rPr>
                <w:rFonts w:ascii="Century Gothic" w:eastAsia="Century Gothic" w:hAnsi="Century Gothic" w:cs="Century Gothic"/>
                <w:b/>
                <w:sz w:val="20"/>
              </w:rPr>
              <w:lastRenderedPageBreak/>
              <w:t xml:space="preserve">E.10 </w:t>
            </w:r>
          </w:p>
        </w:tc>
        <w:tc>
          <w:tcPr>
            <w:tcW w:w="1277" w:type="dxa"/>
            <w:tcBorders>
              <w:top w:val="single" w:sz="4" w:space="0" w:color="000000"/>
              <w:left w:val="single" w:sz="4" w:space="0" w:color="000000"/>
              <w:bottom w:val="single" w:sz="4" w:space="0" w:color="000000"/>
              <w:right w:val="single" w:sz="4" w:space="0" w:color="000000"/>
            </w:tcBorders>
          </w:tcPr>
          <w:p w14:paraId="0D763AC9" w14:textId="77777777" w:rsidR="004A3CD3" w:rsidRDefault="006C0598">
            <w:pPr>
              <w:spacing w:after="0" w:line="259" w:lineRule="auto"/>
              <w:ind w:left="0" w:right="49" w:firstLine="0"/>
              <w:jc w:val="right"/>
            </w:pPr>
            <w:r>
              <w:t xml:space="preserve">2012 </w:t>
            </w:r>
          </w:p>
        </w:tc>
        <w:tc>
          <w:tcPr>
            <w:tcW w:w="7230" w:type="dxa"/>
            <w:tcBorders>
              <w:top w:val="single" w:sz="4" w:space="0" w:color="000000"/>
              <w:left w:val="single" w:sz="4" w:space="0" w:color="000000"/>
              <w:bottom w:val="single" w:sz="4" w:space="0" w:color="000000"/>
              <w:right w:val="single" w:sz="4" w:space="0" w:color="000000"/>
            </w:tcBorders>
          </w:tcPr>
          <w:p w14:paraId="0BB9E7A5" w14:textId="77777777" w:rsidR="004A3CD3" w:rsidRDefault="006C0598">
            <w:pPr>
              <w:spacing w:after="19" w:line="259" w:lineRule="auto"/>
              <w:ind w:left="0" w:right="0" w:firstLine="0"/>
              <w:jc w:val="left"/>
            </w:pPr>
            <w:r>
              <w:t xml:space="preserve">PricewaterhouseCoopers (PwC), Too late for two degrees? Low Carbon </w:t>
            </w:r>
          </w:p>
          <w:p w14:paraId="75F86860" w14:textId="77777777" w:rsidR="004A3CD3" w:rsidRDefault="006C0598">
            <w:pPr>
              <w:spacing w:after="0" w:line="259" w:lineRule="auto"/>
              <w:ind w:left="0" w:right="0" w:firstLine="0"/>
              <w:jc w:val="left"/>
            </w:pPr>
            <w:r>
              <w:t xml:space="preserve">Economy Index 2012, November 2012 </w:t>
            </w:r>
          </w:p>
        </w:tc>
      </w:tr>
      <w:tr w:rsidR="00E933CB" w14:paraId="79505F56"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1E8412AD" w14:textId="77777777" w:rsidR="004A3CD3" w:rsidRDefault="006C0598">
            <w:pPr>
              <w:spacing w:after="0" w:line="259" w:lineRule="auto"/>
              <w:ind w:left="5" w:right="0" w:firstLine="0"/>
              <w:jc w:val="left"/>
            </w:pPr>
            <w:r>
              <w:rPr>
                <w:rFonts w:ascii="Century Gothic" w:eastAsia="Century Gothic" w:hAnsi="Century Gothic" w:cs="Century Gothic"/>
                <w:b/>
                <w:sz w:val="20"/>
              </w:rPr>
              <w:t xml:space="preserve">E.11 </w:t>
            </w:r>
          </w:p>
        </w:tc>
        <w:tc>
          <w:tcPr>
            <w:tcW w:w="1277" w:type="dxa"/>
            <w:tcBorders>
              <w:top w:val="single" w:sz="4" w:space="0" w:color="000000"/>
              <w:left w:val="single" w:sz="4" w:space="0" w:color="000000"/>
              <w:bottom w:val="single" w:sz="4" w:space="0" w:color="000000"/>
              <w:right w:val="single" w:sz="4" w:space="0" w:color="000000"/>
            </w:tcBorders>
          </w:tcPr>
          <w:p w14:paraId="4BCD28C0" w14:textId="77777777" w:rsidR="004A3CD3" w:rsidRDefault="006C0598">
            <w:pPr>
              <w:spacing w:after="0" w:line="259" w:lineRule="auto"/>
              <w:ind w:left="0" w:right="49" w:firstLine="0"/>
              <w:jc w:val="right"/>
            </w:pPr>
            <w:r>
              <w:t xml:space="preserve">2013 </w:t>
            </w:r>
          </w:p>
        </w:tc>
        <w:tc>
          <w:tcPr>
            <w:tcW w:w="7230" w:type="dxa"/>
            <w:tcBorders>
              <w:top w:val="single" w:sz="4" w:space="0" w:color="000000"/>
              <w:left w:val="single" w:sz="4" w:space="0" w:color="000000"/>
              <w:bottom w:val="single" w:sz="4" w:space="0" w:color="000000"/>
              <w:right w:val="single" w:sz="4" w:space="0" w:color="000000"/>
            </w:tcBorders>
          </w:tcPr>
          <w:p w14:paraId="18A1268B" w14:textId="77777777" w:rsidR="004A3CD3" w:rsidRDefault="006C0598">
            <w:pPr>
              <w:spacing w:after="0" w:line="259" w:lineRule="auto"/>
              <w:ind w:left="0" w:right="0" w:firstLine="0"/>
            </w:pPr>
            <w:r>
              <w:t xml:space="preserve">International Energy Agency, Redefining the contours of the energy-climate debate (summary), June 2013 </w:t>
            </w:r>
          </w:p>
        </w:tc>
      </w:tr>
      <w:tr w:rsidR="00E933CB" w14:paraId="3BF14100"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1B6652F7" w14:textId="77777777" w:rsidR="004A3CD3" w:rsidRDefault="006C0598">
            <w:pPr>
              <w:spacing w:after="0" w:line="259" w:lineRule="auto"/>
              <w:ind w:left="5" w:right="0" w:firstLine="0"/>
              <w:jc w:val="left"/>
            </w:pPr>
            <w:r>
              <w:rPr>
                <w:rFonts w:ascii="Century Gothic" w:eastAsia="Century Gothic" w:hAnsi="Century Gothic" w:cs="Century Gothic"/>
                <w:b/>
                <w:sz w:val="20"/>
              </w:rPr>
              <w:t xml:space="preserve">E.12 </w:t>
            </w:r>
          </w:p>
        </w:tc>
        <w:tc>
          <w:tcPr>
            <w:tcW w:w="1277" w:type="dxa"/>
            <w:tcBorders>
              <w:top w:val="single" w:sz="4" w:space="0" w:color="000000"/>
              <w:left w:val="single" w:sz="4" w:space="0" w:color="000000"/>
              <w:bottom w:val="single" w:sz="4" w:space="0" w:color="000000"/>
              <w:right w:val="single" w:sz="4" w:space="0" w:color="000000"/>
            </w:tcBorders>
          </w:tcPr>
          <w:p w14:paraId="3F8996C9" w14:textId="77777777" w:rsidR="004A3CD3" w:rsidRDefault="006C0598">
            <w:pPr>
              <w:spacing w:after="0" w:line="259" w:lineRule="auto"/>
              <w:ind w:left="0" w:right="49"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1C6A7AAF" w14:textId="77777777" w:rsidR="004A3CD3" w:rsidRDefault="006C0598">
            <w:pPr>
              <w:spacing w:after="0" w:line="259" w:lineRule="auto"/>
              <w:ind w:left="0" w:right="0" w:firstLine="0"/>
              <w:jc w:val="left"/>
            </w:pPr>
            <w:r>
              <w:t xml:space="preserve">World Bank, State and Trends of Carbon Pricing (Figure 4), May 2014 </w:t>
            </w:r>
          </w:p>
        </w:tc>
      </w:tr>
      <w:tr w:rsidR="00E933CB" w14:paraId="6D1CE2E7"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31576409" w14:textId="77777777" w:rsidR="004A3CD3" w:rsidRDefault="006C0598">
            <w:pPr>
              <w:spacing w:after="0" w:line="259" w:lineRule="auto"/>
              <w:ind w:left="5" w:right="0" w:firstLine="0"/>
              <w:jc w:val="left"/>
            </w:pPr>
            <w:r>
              <w:rPr>
                <w:rFonts w:ascii="Century Gothic" w:eastAsia="Century Gothic" w:hAnsi="Century Gothic" w:cs="Century Gothic"/>
                <w:b/>
                <w:sz w:val="20"/>
              </w:rPr>
              <w:t xml:space="preserve">E.13 </w:t>
            </w:r>
          </w:p>
        </w:tc>
        <w:tc>
          <w:tcPr>
            <w:tcW w:w="1277" w:type="dxa"/>
            <w:tcBorders>
              <w:top w:val="single" w:sz="4" w:space="0" w:color="000000"/>
              <w:left w:val="single" w:sz="4" w:space="0" w:color="000000"/>
              <w:bottom w:val="single" w:sz="4" w:space="0" w:color="000000"/>
              <w:right w:val="single" w:sz="4" w:space="0" w:color="000000"/>
            </w:tcBorders>
          </w:tcPr>
          <w:p w14:paraId="00A5683E" w14:textId="77777777" w:rsidR="004A3CD3" w:rsidRDefault="006C0598">
            <w:pPr>
              <w:spacing w:after="0" w:line="259" w:lineRule="auto"/>
              <w:ind w:left="0" w:right="49"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649CC420" w14:textId="77777777" w:rsidR="004A3CD3" w:rsidRDefault="006C0598">
            <w:pPr>
              <w:spacing w:after="0" w:line="259" w:lineRule="auto"/>
              <w:ind w:left="0" w:right="0" w:firstLine="0"/>
            </w:pPr>
            <w:r>
              <w:t xml:space="preserve">PNEU, Emissions Reduction Needs and Opportunities Gap Report, Figure ES.1 (Carbon Neutrality), November 2014. </w:t>
            </w:r>
          </w:p>
        </w:tc>
      </w:tr>
      <w:tr w:rsidR="00E933CB" w14:paraId="3268A20B"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0839B713" w14:textId="77777777" w:rsidR="004A3CD3" w:rsidRDefault="006C0598">
            <w:pPr>
              <w:spacing w:after="0" w:line="259" w:lineRule="auto"/>
              <w:ind w:left="5" w:right="0" w:firstLine="0"/>
              <w:jc w:val="left"/>
            </w:pPr>
            <w:r>
              <w:rPr>
                <w:rFonts w:ascii="Century Gothic" w:eastAsia="Century Gothic" w:hAnsi="Century Gothic" w:cs="Century Gothic"/>
                <w:b/>
                <w:sz w:val="20"/>
              </w:rPr>
              <w:t xml:space="preserve">E.14 </w:t>
            </w:r>
          </w:p>
        </w:tc>
        <w:tc>
          <w:tcPr>
            <w:tcW w:w="1277" w:type="dxa"/>
            <w:tcBorders>
              <w:top w:val="single" w:sz="4" w:space="0" w:color="000000"/>
              <w:left w:val="single" w:sz="4" w:space="0" w:color="000000"/>
              <w:bottom w:val="single" w:sz="4" w:space="0" w:color="000000"/>
              <w:right w:val="single" w:sz="4" w:space="0" w:color="000000"/>
            </w:tcBorders>
          </w:tcPr>
          <w:p w14:paraId="293110D2" w14:textId="77777777" w:rsidR="004A3CD3" w:rsidRDefault="006C0598">
            <w:pPr>
              <w:spacing w:after="0" w:line="259" w:lineRule="auto"/>
              <w:ind w:left="0" w:right="49" w:firstLine="0"/>
              <w:jc w:val="right"/>
            </w:pPr>
            <w:r>
              <w:t xml:space="preserve">2016 </w:t>
            </w:r>
          </w:p>
        </w:tc>
        <w:tc>
          <w:tcPr>
            <w:tcW w:w="7230" w:type="dxa"/>
            <w:tcBorders>
              <w:top w:val="single" w:sz="4" w:space="0" w:color="000000"/>
              <w:left w:val="single" w:sz="4" w:space="0" w:color="000000"/>
              <w:bottom w:val="single" w:sz="4" w:space="0" w:color="000000"/>
              <w:right w:val="single" w:sz="4" w:space="0" w:color="000000"/>
            </w:tcBorders>
          </w:tcPr>
          <w:p w14:paraId="5A5F159D" w14:textId="77777777" w:rsidR="004A3CD3" w:rsidRDefault="006C0598">
            <w:pPr>
              <w:spacing w:after="14" w:line="259" w:lineRule="auto"/>
              <w:ind w:left="0" w:right="0" w:firstLine="0"/>
              <w:jc w:val="left"/>
            </w:pPr>
            <w:r>
              <w:t xml:space="preserve">International Energy Agency, </w:t>
            </w:r>
            <w:r>
              <w:rPr>
                <w:i/>
              </w:rPr>
              <w:t xml:space="preserve">CO </w:t>
            </w:r>
            <w:r>
              <w:rPr>
                <w:i/>
                <w:vertAlign w:val="subscript"/>
              </w:rPr>
              <w:t>2</w:t>
            </w:r>
            <w:r>
              <w:rPr>
                <w:i/>
              </w:rPr>
              <w:t xml:space="preserve">Emissions from Fuel Combustion: Key CO </w:t>
            </w:r>
            <w:r>
              <w:rPr>
                <w:i/>
                <w:vertAlign w:val="subscript"/>
              </w:rPr>
              <w:t>2</w:t>
            </w:r>
          </w:p>
          <w:p w14:paraId="0CCD1343" w14:textId="77777777" w:rsidR="004A3CD3" w:rsidRDefault="006C0598">
            <w:pPr>
              <w:spacing w:after="0" w:line="259" w:lineRule="auto"/>
              <w:ind w:left="0" w:right="0" w:firstLine="0"/>
              <w:jc w:val="left"/>
            </w:pPr>
            <w:r>
              <w:rPr>
                <w:i/>
              </w:rPr>
              <w:t xml:space="preserve">Emissions Trends, </w:t>
            </w:r>
            <w:r>
              <w:t xml:space="preserve">2016 </w:t>
            </w:r>
          </w:p>
        </w:tc>
      </w:tr>
      <w:tr w:rsidR="00E933CB" w14:paraId="0773D3AD" w14:textId="77777777">
        <w:trPr>
          <w:trHeight w:val="317"/>
        </w:trPr>
        <w:tc>
          <w:tcPr>
            <w:tcW w:w="674" w:type="dxa"/>
            <w:tcBorders>
              <w:top w:val="single" w:sz="4" w:space="0" w:color="000000"/>
              <w:left w:val="single" w:sz="4" w:space="0" w:color="000000"/>
              <w:bottom w:val="single" w:sz="4" w:space="0" w:color="000000"/>
              <w:right w:val="single" w:sz="4" w:space="0" w:color="000000"/>
            </w:tcBorders>
          </w:tcPr>
          <w:p w14:paraId="731D5C61" w14:textId="77777777" w:rsidR="004A3CD3" w:rsidRDefault="006C0598">
            <w:pPr>
              <w:spacing w:after="0" w:line="259" w:lineRule="auto"/>
              <w:ind w:left="5" w:right="0" w:firstLine="0"/>
              <w:jc w:val="left"/>
            </w:pPr>
            <w:r>
              <w:rPr>
                <w:rFonts w:ascii="Century Gothic" w:eastAsia="Century Gothic" w:hAnsi="Century Gothic" w:cs="Century Gothic"/>
                <w:b/>
                <w:sz w:val="20"/>
              </w:rPr>
              <w:t xml:space="preserve">E.15 </w:t>
            </w:r>
          </w:p>
        </w:tc>
        <w:tc>
          <w:tcPr>
            <w:tcW w:w="1277" w:type="dxa"/>
            <w:tcBorders>
              <w:top w:val="single" w:sz="4" w:space="0" w:color="000000"/>
              <w:left w:val="single" w:sz="4" w:space="0" w:color="000000"/>
              <w:bottom w:val="single" w:sz="4" w:space="0" w:color="000000"/>
              <w:right w:val="single" w:sz="4" w:space="0" w:color="000000"/>
            </w:tcBorders>
          </w:tcPr>
          <w:p w14:paraId="486DF404" w14:textId="77777777" w:rsidR="004A3CD3" w:rsidRDefault="006C0598">
            <w:pPr>
              <w:spacing w:after="0" w:line="259" w:lineRule="auto"/>
              <w:ind w:left="0" w:right="49" w:firstLine="0"/>
              <w:jc w:val="right"/>
            </w:pPr>
            <w:r>
              <w:t xml:space="preserve">2017 </w:t>
            </w:r>
          </w:p>
        </w:tc>
        <w:tc>
          <w:tcPr>
            <w:tcW w:w="7230" w:type="dxa"/>
            <w:tcBorders>
              <w:top w:val="single" w:sz="4" w:space="0" w:color="000000"/>
              <w:left w:val="single" w:sz="4" w:space="0" w:color="000000"/>
              <w:bottom w:val="single" w:sz="4" w:space="0" w:color="000000"/>
              <w:right w:val="single" w:sz="4" w:space="0" w:color="000000"/>
            </w:tcBorders>
          </w:tcPr>
          <w:p w14:paraId="3D37242E" w14:textId="77777777" w:rsidR="004A3CD3" w:rsidRDefault="006C0598">
            <w:pPr>
              <w:spacing w:after="0" w:line="259" w:lineRule="auto"/>
              <w:ind w:left="0" w:right="0" w:firstLine="0"/>
              <w:jc w:val="left"/>
            </w:pPr>
            <w:r>
              <w:t xml:space="preserve">International Organization for Migration, Extreme heat and migration </w:t>
            </w:r>
          </w:p>
        </w:tc>
      </w:tr>
      <w:tr w:rsidR="00E933CB" w14:paraId="032698D9"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018C5AF5" w14:textId="77777777" w:rsidR="004A3CD3" w:rsidRDefault="006C0598">
            <w:pPr>
              <w:spacing w:after="0" w:line="259" w:lineRule="auto"/>
              <w:ind w:left="5" w:right="0" w:firstLine="0"/>
              <w:jc w:val="left"/>
            </w:pPr>
            <w:r>
              <w:rPr>
                <w:rFonts w:ascii="Century Gothic" w:eastAsia="Century Gothic" w:hAnsi="Century Gothic" w:cs="Century Gothic"/>
                <w:b/>
                <w:sz w:val="20"/>
              </w:rPr>
              <w:t xml:space="preserve">E.16 </w:t>
            </w:r>
          </w:p>
        </w:tc>
        <w:tc>
          <w:tcPr>
            <w:tcW w:w="1277" w:type="dxa"/>
            <w:tcBorders>
              <w:top w:val="single" w:sz="4" w:space="0" w:color="000000"/>
              <w:left w:val="single" w:sz="4" w:space="0" w:color="000000"/>
              <w:bottom w:val="single" w:sz="4" w:space="0" w:color="000000"/>
              <w:right w:val="single" w:sz="4" w:space="0" w:color="000000"/>
            </w:tcBorders>
          </w:tcPr>
          <w:p w14:paraId="008A2AF2" w14:textId="77777777" w:rsidR="004A3CD3" w:rsidRDefault="006C0598">
            <w:pPr>
              <w:spacing w:after="0" w:line="259" w:lineRule="auto"/>
              <w:ind w:left="0" w:right="49"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4F9E3365" w14:textId="77777777" w:rsidR="004A3CD3" w:rsidRDefault="006C0598">
            <w:pPr>
              <w:spacing w:after="0" w:line="259" w:lineRule="auto"/>
              <w:ind w:left="0" w:right="0" w:firstLine="0"/>
              <w:jc w:val="left"/>
            </w:pPr>
            <w:r>
              <w:t xml:space="preserve">WMO State of the World Climate 2018 statement </w:t>
            </w:r>
          </w:p>
        </w:tc>
      </w:tr>
      <w:tr w:rsidR="00E933CB" w14:paraId="439016A1" w14:textId="77777777">
        <w:trPr>
          <w:trHeight w:val="938"/>
        </w:trPr>
        <w:tc>
          <w:tcPr>
            <w:tcW w:w="674" w:type="dxa"/>
            <w:tcBorders>
              <w:top w:val="single" w:sz="4" w:space="0" w:color="000000"/>
              <w:left w:val="single" w:sz="4" w:space="0" w:color="000000"/>
              <w:bottom w:val="single" w:sz="4" w:space="0" w:color="000000"/>
              <w:right w:val="single" w:sz="4" w:space="0" w:color="000000"/>
            </w:tcBorders>
          </w:tcPr>
          <w:p w14:paraId="7AC27E51" w14:textId="77777777" w:rsidR="004A3CD3" w:rsidRDefault="006C0598">
            <w:pPr>
              <w:spacing w:after="0" w:line="259" w:lineRule="auto"/>
              <w:ind w:left="5" w:right="0" w:firstLine="0"/>
              <w:jc w:val="left"/>
            </w:pPr>
            <w:r>
              <w:rPr>
                <w:rFonts w:ascii="Century Gothic" w:eastAsia="Century Gothic" w:hAnsi="Century Gothic" w:cs="Century Gothic"/>
                <w:b/>
                <w:sz w:val="20"/>
              </w:rPr>
              <w:t xml:space="preserve">E.17 </w:t>
            </w:r>
          </w:p>
        </w:tc>
        <w:tc>
          <w:tcPr>
            <w:tcW w:w="1277" w:type="dxa"/>
            <w:tcBorders>
              <w:top w:val="single" w:sz="4" w:space="0" w:color="000000"/>
              <w:left w:val="single" w:sz="4" w:space="0" w:color="000000"/>
              <w:bottom w:val="single" w:sz="4" w:space="0" w:color="000000"/>
              <w:right w:val="single" w:sz="4" w:space="0" w:color="000000"/>
            </w:tcBorders>
          </w:tcPr>
          <w:p w14:paraId="1274E031" w14:textId="77777777" w:rsidR="004A3CD3" w:rsidRDefault="006C0598">
            <w:pPr>
              <w:spacing w:after="0" w:line="259" w:lineRule="auto"/>
              <w:ind w:left="0" w:right="49"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28C97E76" w14:textId="77777777" w:rsidR="004A3CD3" w:rsidRDefault="006C0598">
            <w:pPr>
              <w:spacing w:after="0" w:line="276" w:lineRule="auto"/>
              <w:ind w:left="0" w:right="0" w:firstLine="0"/>
            </w:pPr>
            <w:r>
              <w:t xml:space="preserve">N. WATTS </w:t>
            </w:r>
            <w:r>
              <w:rPr>
                <w:i/>
              </w:rPr>
              <w:t>et al</w:t>
            </w:r>
            <w:r>
              <w:t xml:space="preserve">, "The 2018 report of the Lancet Countdown on health and climate change: shaping the health of nations for centuries to come, Executive </w:t>
            </w:r>
          </w:p>
          <w:p w14:paraId="5505335B" w14:textId="77777777" w:rsidR="004A3CD3" w:rsidRDefault="006C0598">
            <w:pPr>
              <w:spacing w:after="0" w:line="259" w:lineRule="auto"/>
              <w:ind w:left="0" w:right="0" w:firstLine="0"/>
              <w:jc w:val="left"/>
            </w:pPr>
            <w:r>
              <w:t xml:space="preserve">Summary", </w:t>
            </w:r>
            <w:r>
              <w:rPr>
                <w:i/>
              </w:rPr>
              <w:t>The Lancet</w:t>
            </w:r>
            <w:r>
              <w:t xml:space="preserve">, 2018 </w:t>
            </w:r>
          </w:p>
        </w:tc>
      </w:tr>
      <w:tr w:rsidR="00E933CB" w14:paraId="334B59B9" w14:textId="77777777">
        <w:trPr>
          <w:trHeight w:val="317"/>
        </w:trPr>
        <w:tc>
          <w:tcPr>
            <w:tcW w:w="674" w:type="dxa"/>
            <w:tcBorders>
              <w:top w:val="single" w:sz="4" w:space="0" w:color="000000"/>
              <w:left w:val="single" w:sz="4" w:space="0" w:color="000000"/>
              <w:bottom w:val="single" w:sz="4" w:space="0" w:color="000000"/>
              <w:right w:val="single" w:sz="4" w:space="0" w:color="000000"/>
            </w:tcBorders>
          </w:tcPr>
          <w:p w14:paraId="09C0FFE6" w14:textId="77777777" w:rsidR="004A3CD3" w:rsidRDefault="006C0598">
            <w:pPr>
              <w:spacing w:after="0" w:line="259" w:lineRule="auto"/>
              <w:ind w:left="5" w:right="0" w:firstLine="0"/>
              <w:jc w:val="left"/>
            </w:pPr>
            <w:r>
              <w:rPr>
                <w:rFonts w:ascii="Century Gothic" w:eastAsia="Century Gothic" w:hAnsi="Century Gothic" w:cs="Century Gothic"/>
                <w:b/>
                <w:sz w:val="20"/>
              </w:rPr>
              <w:t xml:space="preserve">E.18 </w:t>
            </w:r>
          </w:p>
        </w:tc>
        <w:tc>
          <w:tcPr>
            <w:tcW w:w="1277" w:type="dxa"/>
            <w:tcBorders>
              <w:top w:val="single" w:sz="4" w:space="0" w:color="000000"/>
              <w:left w:val="single" w:sz="4" w:space="0" w:color="000000"/>
              <w:bottom w:val="single" w:sz="4" w:space="0" w:color="000000"/>
              <w:right w:val="single" w:sz="4" w:space="0" w:color="000000"/>
            </w:tcBorders>
          </w:tcPr>
          <w:p w14:paraId="4C25D320" w14:textId="77777777" w:rsidR="004A3CD3" w:rsidRDefault="006C0598">
            <w:pPr>
              <w:spacing w:after="0" w:line="259" w:lineRule="auto"/>
              <w:ind w:left="0" w:right="49"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622151C8" w14:textId="77777777" w:rsidR="004A3CD3" w:rsidRDefault="006C0598">
            <w:pPr>
              <w:spacing w:after="0" w:line="259" w:lineRule="auto"/>
              <w:ind w:left="0" w:right="0" w:firstLine="0"/>
              <w:jc w:val="left"/>
            </w:pPr>
            <w:r>
              <w:t xml:space="preserve">International Organization for Migration, </w:t>
            </w:r>
            <w:r>
              <w:rPr>
                <w:i/>
              </w:rPr>
              <w:t xml:space="preserve">Global migration indicators for 2018 </w:t>
            </w:r>
          </w:p>
        </w:tc>
      </w:tr>
      <w:tr w:rsidR="00E933CB" w14:paraId="6E989166"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6CBDCF8B" w14:textId="77777777" w:rsidR="004A3CD3" w:rsidRDefault="006C0598">
            <w:pPr>
              <w:spacing w:after="0" w:line="259" w:lineRule="auto"/>
              <w:ind w:left="5" w:right="0" w:firstLine="0"/>
              <w:jc w:val="left"/>
            </w:pPr>
            <w:r>
              <w:rPr>
                <w:rFonts w:ascii="Century Gothic" w:eastAsia="Century Gothic" w:hAnsi="Century Gothic" w:cs="Century Gothic"/>
                <w:b/>
                <w:sz w:val="20"/>
              </w:rPr>
              <w:t xml:space="preserve">E.19 </w:t>
            </w:r>
          </w:p>
        </w:tc>
        <w:tc>
          <w:tcPr>
            <w:tcW w:w="1277" w:type="dxa"/>
            <w:tcBorders>
              <w:top w:val="single" w:sz="4" w:space="0" w:color="000000"/>
              <w:left w:val="single" w:sz="4" w:space="0" w:color="000000"/>
              <w:bottom w:val="single" w:sz="4" w:space="0" w:color="000000"/>
              <w:right w:val="single" w:sz="4" w:space="0" w:color="000000"/>
            </w:tcBorders>
          </w:tcPr>
          <w:p w14:paraId="48CFF052" w14:textId="77777777" w:rsidR="004A3CD3" w:rsidRDefault="006C0598">
            <w:pPr>
              <w:spacing w:after="0" w:line="259" w:lineRule="auto"/>
              <w:ind w:left="0" w:right="49"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6C43581F" w14:textId="77777777" w:rsidR="004A3CD3" w:rsidRDefault="006C0598">
            <w:pPr>
              <w:spacing w:after="0" w:line="259" w:lineRule="auto"/>
              <w:ind w:left="0" w:right="0" w:firstLine="0"/>
              <w:jc w:val="left"/>
            </w:pPr>
            <w:r>
              <w:t xml:space="preserve">UNEP, </w:t>
            </w:r>
            <w:r>
              <w:rPr>
                <w:i/>
              </w:rPr>
              <w:t>The Emissions Gap Report</w:t>
            </w:r>
            <w:r>
              <w:t xml:space="preserve">, executive summary, 2018 </w:t>
            </w:r>
          </w:p>
        </w:tc>
      </w:tr>
      <w:tr w:rsidR="00E933CB" w14:paraId="2E62359C"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6E0EE4DF" w14:textId="77777777" w:rsidR="004A3CD3" w:rsidRDefault="006C0598">
            <w:pPr>
              <w:spacing w:after="0" w:line="259" w:lineRule="auto"/>
              <w:ind w:left="5" w:right="0" w:firstLine="0"/>
              <w:jc w:val="left"/>
            </w:pPr>
            <w:r>
              <w:rPr>
                <w:rFonts w:ascii="Century Gothic" w:eastAsia="Century Gothic" w:hAnsi="Century Gothic" w:cs="Century Gothic"/>
                <w:b/>
                <w:sz w:val="20"/>
              </w:rPr>
              <w:t xml:space="preserve">E.20 </w:t>
            </w:r>
          </w:p>
        </w:tc>
        <w:tc>
          <w:tcPr>
            <w:tcW w:w="1277" w:type="dxa"/>
            <w:tcBorders>
              <w:top w:val="single" w:sz="4" w:space="0" w:color="000000"/>
              <w:left w:val="single" w:sz="4" w:space="0" w:color="000000"/>
              <w:bottom w:val="single" w:sz="4" w:space="0" w:color="000000"/>
              <w:right w:val="single" w:sz="4" w:space="0" w:color="000000"/>
            </w:tcBorders>
          </w:tcPr>
          <w:p w14:paraId="4C6F31BA" w14:textId="77777777" w:rsidR="004A3CD3" w:rsidRDefault="006C0598">
            <w:pPr>
              <w:spacing w:after="0" w:line="259" w:lineRule="auto"/>
              <w:ind w:left="0" w:right="49"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60D38A01" w14:textId="77777777" w:rsidR="004A3CD3" w:rsidRDefault="006C0598">
            <w:pPr>
              <w:spacing w:after="0" w:line="259" w:lineRule="auto"/>
              <w:ind w:left="0" w:right="0" w:firstLine="0"/>
              <w:jc w:val="left"/>
            </w:pPr>
            <w:r>
              <w:t xml:space="preserve">UNEP, </w:t>
            </w:r>
            <w:r>
              <w:rPr>
                <w:i/>
              </w:rPr>
              <w:t>The Emissions Gap Report</w:t>
            </w:r>
            <w:r>
              <w:t xml:space="preserve">, executive summary, 2019 </w:t>
            </w:r>
          </w:p>
        </w:tc>
      </w:tr>
      <w:tr w:rsidR="00E933CB" w14:paraId="6F6F0BB8"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08AF7512" w14:textId="77777777" w:rsidR="004A3CD3" w:rsidRDefault="006C0598">
            <w:pPr>
              <w:spacing w:after="0" w:line="259" w:lineRule="auto"/>
              <w:ind w:left="5" w:right="0" w:firstLine="0"/>
              <w:jc w:val="left"/>
            </w:pPr>
            <w:r>
              <w:rPr>
                <w:rFonts w:ascii="Century Gothic" w:eastAsia="Century Gothic" w:hAnsi="Century Gothic" w:cs="Century Gothic"/>
                <w:b/>
                <w:sz w:val="20"/>
              </w:rPr>
              <w:t xml:space="preserve">E.21 </w:t>
            </w:r>
          </w:p>
        </w:tc>
        <w:tc>
          <w:tcPr>
            <w:tcW w:w="1277" w:type="dxa"/>
            <w:tcBorders>
              <w:top w:val="single" w:sz="4" w:space="0" w:color="000000"/>
              <w:left w:val="single" w:sz="4" w:space="0" w:color="000000"/>
              <w:bottom w:val="single" w:sz="4" w:space="0" w:color="000000"/>
              <w:right w:val="single" w:sz="4" w:space="0" w:color="000000"/>
            </w:tcBorders>
          </w:tcPr>
          <w:p w14:paraId="4E2AED62" w14:textId="77777777" w:rsidR="004A3CD3" w:rsidRDefault="006C0598">
            <w:pPr>
              <w:spacing w:after="0" w:line="259" w:lineRule="auto"/>
              <w:ind w:left="0" w:right="49"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5FE1AB21" w14:textId="77777777" w:rsidR="004A3CD3" w:rsidRDefault="006C0598">
            <w:pPr>
              <w:spacing w:after="0" w:line="259" w:lineRule="auto"/>
              <w:ind w:left="0" w:right="0" w:firstLine="0"/>
            </w:pPr>
            <w:r>
              <w:t xml:space="preserve">J. CHRISTENSEN &amp; A. OLHOFF, </w:t>
            </w:r>
            <w:r>
              <w:rPr>
                <w:i/>
              </w:rPr>
              <w:t>Lessons from a decade of emissions gap assessments</w:t>
            </w:r>
            <w:r>
              <w:t xml:space="preserve">, Nairobi, UNEP, 2019 </w:t>
            </w:r>
          </w:p>
        </w:tc>
      </w:tr>
      <w:tr w:rsidR="00E933CB" w14:paraId="16401767" w14:textId="77777777">
        <w:trPr>
          <w:trHeight w:val="1246"/>
        </w:trPr>
        <w:tc>
          <w:tcPr>
            <w:tcW w:w="674" w:type="dxa"/>
            <w:tcBorders>
              <w:top w:val="single" w:sz="4" w:space="0" w:color="000000"/>
              <w:left w:val="single" w:sz="4" w:space="0" w:color="000000"/>
              <w:bottom w:val="single" w:sz="4" w:space="0" w:color="000000"/>
              <w:right w:val="single" w:sz="4" w:space="0" w:color="000000"/>
            </w:tcBorders>
          </w:tcPr>
          <w:p w14:paraId="12217FEB" w14:textId="77777777" w:rsidR="004A3CD3" w:rsidRDefault="006C0598">
            <w:pPr>
              <w:spacing w:after="0" w:line="259" w:lineRule="auto"/>
              <w:ind w:left="5" w:right="0" w:firstLine="0"/>
              <w:jc w:val="left"/>
            </w:pPr>
            <w:r>
              <w:rPr>
                <w:rFonts w:ascii="Century Gothic" w:eastAsia="Century Gothic" w:hAnsi="Century Gothic" w:cs="Century Gothic"/>
                <w:b/>
                <w:sz w:val="20"/>
              </w:rPr>
              <w:t xml:space="preserve">E.22 </w:t>
            </w:r>
          </w:p>
        </w:tc>
        <w:tc>
          <w:tcPr>
            <w:tcW w:w="1277" w:type="dxa"/>
            <w:tcBorders>
              <w:top w:val="single" w:sz="4" w:space="0" w:color="000000"/>
              <w:left w:val="single" w:sz="4" w:space="0" w:color="000000"/>
              <w:bottom w:val="single" w:sz="4" w:space="0" w:color="000000"/>
              <w:right w:val="single" w:sz="4" w:space="0" w:color="000000"/>
            </w:tcBorders>
          </w:tcPr>
          <w:p w14:paraId="2A350768" w14:textId="77777777" w:rsidR="004A3CD3" w:rsidRDefault="006C0598">
            <w:pPr>
              <w:spacing w:after="0" w:line="259" w:lineRule="auto"/>
              <w:ind w:left="0" w:right="49"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4F69DAA0" w14:textId="77777777" w:rsidR="004A3CD3" w:rsidRDefault="006C0598">
            <w:pPr>
              <w:spacing w:after="1" w:line="275" w:lineRule="auto"/>
              <w:ind w:left="0" w:right="79" w:firstLine="0"/>
            </w:pPr>
            <w:r>
              <w:t>Report of The Lancet Countdown on health and climate change, "</w:t>
            </w:r>
            <w:r>
              <w:rPr>
                <w:i/>
              </w:rPr>
              <w:t>ensuring that the health of a child born today is not defined by a changing climate</w:t>
            </w:r>
            <w:r>
              <w:t xml:space="preserve">," 13 November 2019,  </w:t>
            </w:r>
          </w:p>
          <w:p w14:paraId="2AF50EA8" w14:textId="77777777" w:rsidR="004A3CD3" w:rsidRDefault="006C0598">
            <w:pPr>
              <w:spacing w:after="0" w:line="259" w:lineRule="auto"/>
              <w:ind w:left="0" w:right="0" w:firstLine="0"/>
              <w:jc w:val="left"/>
            </w:pPr>
            <w:r>
              <w:t xml:space="preserve">Cited in findings as: 'The Lancet Countdown 2019' </w:t>
            </w:r>
          </w:p>
        </w:tc>
      </w:tr>
    </w:tbl>
    <w:p w14:paraId="33CE9220" w14:textId="77777777" w:rsidR="00E933CB" w:rsidRDefault="00825B93">
      <w:pPr>
        <w:spacing w:after="98" w:line="259" w:lineRule="auto"/>
        <w:ind w:left="464" w:right="0" w:firstLine="0"/>
        <w:jc w:val="left"/>
      </w:pPr>
      <w:r>
        <w:t xml:space="preserve"> </w:t>
      </w:r>
    </w:p>
    <w:p w14:paraId="16C8A8F3" w14:textId="77777777" w:rsidR="00E933CB" w:rsidRDefault="00825B93">
      <w:pPr>
        <w:spacing w:after="95" w:line="259" w:lineRule="auto"/>
        <w:ind w:left="0" w:right="9117" w:firstLine="0"/>
        <w:jc w:val="right"/>
      </w:pPr>
      <w:r>
        <w:t xml:space="preserve"> </w:t>
      </w:r>
    </w:p>
    <w:p w14:paraId="2B062528" w14:textId="77777777" w:rsidR="00E933CB" w:rsidRDefault="00825B93">
      <w:pPr>
        <w:spacing w:after="0" w:line="259" w:lineRule="auto"/>
        <w:ind w:left="0" w:right="9117" w:firstLine="0"/>
        <w:jc w:val="right"/>
      </w:pPr>
      <w:r>
        <w:t xml:space="preserve"> </w:t>
      </w:r>
    </w:p>
    <w:tbl>
      <w:tblPr>
        <w:tblStyle w:val="TableGrid"/>
        <w:tblW w:w="9182" w:type="dxa"/>
        <w:tblInd w:w="468" w:type="dxa"/>
        <w:tblCellMar>
          <w:top w:w="48" w:type="dxa"/>
          <w:left w:w="108" w:type="dxa"/>
          <w:right w:w="63" w:type="dxa"/>
        </w:tblCellMar>
        <w:tblLook w:val="04A0" w:firstRow="1" w:lastRow="0" w:firstColumn="1" w:lastColumn="0" w:noHBand="0" w:noVBand="1"/>
      </w:tblPr>
      <w:tblGrid>
        <w:gridCol w:w="674"/>
        <w:gridCol w:w="1277"/>
        <w:gridCol w:w="7231"/>
      </w:tblGrid>
      <w:tr w:rsidR="00E933CB" w14:paraId="0A7B3EC0" w14:textId="77777777">
        <w:trPr>
          <w:trHeight w:val="574"/>
        </w:trPr>
        <w:tc>
          <w:tcPr>
            <w:tcW w:w="674" w:type="dxa"/>
            <w:tcBorders>
              <w:top w:val="single" w:sz="4" w:space="0" w:color="000000"/>
              <w:left w:val="single" w:sz="4" w:space="0" w:color="000000"/>
              <w:bottom w:val="single" w:sz="4" w:space="0" w:color="000000"/>
              <w:right w:val="nil"/>
            </w:tcBorders>
          </w:tcPr>
          <w:p w14:paraId="25CC2FD2" w14:textId="77777777" w:rsidR="00E933CB" w:rsidRDefault="00E933CB">
            <w:pPr>
              <w:spacing w:after="160" w:line="259" w:lineRule="auto"/>
              <w:ind w:left="0" w:right="0" w:firstLine="0"/>
              <w:jc w:val="left"/>
            </w:pPr>
          </w:p>
        </w:tc>
        <w:tc>
          <w:tcPr>
            <w:tcW w:w="8507" w:type="dxa"/>
            <w:gridSpan w:val="2"/>
            <w:tcBorders>
              <w:top w:val="single" w:sz="4" w:space="0" w:color="000000"/>
              <w:left w:val="nil"/>
              <w:bottom w:val="single" w:sz="4" w:space="0" w:color="000000"/>
              <w:right w:val="single" w:sz="4" w:space="0" w:color="000000"/>
            </w:tcBorders>
          </w:tcPr>
          <w:p w14:paraId="25535F49" w14:textId="77777777" w:rsidR="004A3CD3" w:rsidRDefault="006C0598">
            <w:pPr>
              <w:spacing w:after="0" w:line="259" w:lineRule="auto"/>
              <w:ind w:left="1027" w:right="0" w:firstLine="0"/>
              <w:jc w:val="left"/>
            </w:pPr>
            <w:r>
              <w:rPr>
                <w:b/>
                <w:sz w:val="40"/>
              </w:rPr>
              <w:t xml:space="preserve">F. </w:t>
            </w:r>
            <w:r>
              <w:rPr>
                <w:b/>
                <w:sz w:val="40"/>
                <w:u w:val="single" w:color="000000"/>
              </w:rPr>
              <w:t xml:space="preserve">Belgian legal documentation </w:t>
            </w:r>
          </w:p>
        </w:tc>
      </w:tr>
      <w:tr w:rsidR="00E933CB" w14:paraId="6EB886DB" w14:textId="77777777">
        <w:trPr>
          <w:trHeight w:val="346"/>
        </w:trPr>
        <w:tc>
          <w:tcPr>
            <w:tcW w:w="674" w:type="dxa"/>
            <w:tcBorders>
              <w:top w:val="single" w:sz="4" w:space="0" w:color="000000"/>
              <w:left w:val="single" w:sz="4" w:space="0" w:color="000000"/>
              <w:bottom w:val="single" w:sz="4" w:space="0" w:color="000000"/>
              <w:right w:val="nil"/>
            </w:tcBorders>
          </w:tcPr>
          <w:p w14:paraId="35230D50" w14:textId="77777777" w:rsidR="00E933CB" w:rsidRDefault="00E933CB">
            <w:pPr>
              <w:spacing w:after="160" w:line="259" w:lineRule="auto"/>
              <w:ind w:left="0" w:right="0" w:firstLine="0"/>
              <w:jc w:val="left"/>
            </w:pPr>
          </w:p>
        </w:tc>
        <w:tc>
          <w:tcPr>
            <w:tcW w:w="8507" w:type="dxa"/>
            <w:gridSpan w:val="2"/>
            <w:tcBorders>
              <w:top w:val="single" w:sz="4" w:space="0" w:color="000000"/>
              <w:left w:val="nil"/>
              <w:bottom w:val="single" w:sz="4" w:space="0" w:color="000000"/>
              <w:right w:val="single" w:sz="4" w:space="0" w:color="000000"/>
            </w:tcBorders>
          </w:tcPr>
          <w:p w14:paraId="1CC28D6E" w14:textId="77777777" w:rsidR="004A3CD3" w:rsidRDefault="006C0598">
            <w:pPr>
              <w:spacing w:after="0" w:line="259" w:lineRule="auto"/>
              <w:ind w:left="0" w:right="787" w:firstLine="0"/>
              <w:jc w:val="center"/>
            </w:pPr>
            <w:r>
              <w:rPr>
                <w:b/>
                <w:sz w:val="24"/>
                <w:u w:val="single" w:color="000000"/>
              </w:rPr>
              <w:t xml:space="preserve">Legislation </w:t>
            </w:r>
          </w:p>
        </w:tc>
      </w:tr>
      <w:tr w:rsidR="00E933CB" w14:paraId="7FFC31F2"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381A6DDB" w14:textId="77777777" w:rsidR="00E933CB" w:rsidRDefault="00825B93">
            <w:pPr>
              <w:spacing w:after="0" w:line="259" w:lineRule="auto"/>
              <w:ind w:left="0" w:right="6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8F52C6B" w14:textId="77777777" w:rsidR="004A3CD3" w:rsidRDefault="006C0598">
            <w:pPr>
              <w:spacing w:after="0" w:line="259" w:lineRule="auto"/>
              <w:ind w:left="0" w:right="0" w:firstLine="0"/>
              <w:jc w:val="left"/>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tcPr>
          <w:p w14:paraId="20B5F81D" w14:textId="77777777" w:rsidR="004A3CD3" w:rsidRDefault="006C0598">
            <w:pPr>
              <w:spacing w:after="0" w:line="259" w:lineRule="auto"/>
              <w:ind w:left="0" w:right="0" w:firstLine="0"/>
              <w:jc w:val="left"/>
            </w:pPr>
            <w:r>
              <w:rPr>
                <w:b/>
              </w:rPr>
              <w:t xml:space="preserve">Description </w:t>
            </w:r>
          </w:p>
        </w:tc>
      </w:tr>
      <w:tr w:rsidR="00E933CB" w14:paraId="3F89E8B5" w14:textId="77777777">
        <w:trPr>
          <w:trHeight w:val="1604"/>
        </w:trPr>
        <w:tc>
          <w:tcPr>
            <w:tcW w:w="674" w:type="dxa"/>
            <w:tcBorders>
              <w:top w:val="single" w:sz="4" w:space="0" w:color="000000"/>
              <w:left w:val="single" w:sz="4" w:space="0" w:color="000000"/>
              <w:bottom w:val="single" w:sz="4" w:space="0" w:color="000000"/>
              <w:right w:val="single" w:sz="4" w:space="0" w:color="000000"/>
            </w:tcBorders>
          </w:tcPr>
          <w:p w14:paraId="091500B6" w14:textId="77777777" w:rsidR="004A3CD3" w:rsidRDefault="006C0598">
            <w:pPr>
              <w:spacing w:after="0" w:line="259" w:lineRule="auto"/>
              <w:ind w:left="0" w:right="111" w:firstLine="0"/>
              <w:jc w:val="center"/>
            </w:pPr>
            <w:r>
              <w:rPr>
                <w:rFonts w:ascii="Century Gothic" w:eastAsia="Century Gothic" w:hAnsi="Century Gothic" w:cs="Century Gothic"/>
                <w:b/>
                <w:sz w:val="20"/>
              </w:rPr>
              <w:t xml:space="preserve">F.1 </w:t>
            </w:r>
          </w:p>
        </w:tc>
        <w:tc>
          <w:tcPr>
            <w:tcW w:w="1277" w:type="dxa"/>
            <w:tcBorders>
              <w:top w:val="single" w:sz="4" w:space="0" w:color="000000"/>
              <w:left w:val="single" w:sz="4" w:space="0" w:color="000000"/>
              <w:bottom w:val="single" w:sz="4" w:space="0" w:color="000000"/>
              <w:right w:val="single" w:sz="4" w:space="0" w:color="000000"/>
            </w:tcBorders>
          </w:tcPr>
          <w:p w14:paraId="05C8F9E6" w14:textId="77777777" w:rsidR="004A3CD3" w:rsidRDefault="006C0598">
            <w:pPr>
              <w:spacing w:after="139" w:line="259" w:lineRule="auto"/>
              <w:ind w:left="0" w:right="78" w:firstLine="0"/>
              <w:jc w:val="right"/>
            </w:pPr>
            <w:r>
              <w:t xml:space="preserve">2002 </w:t>
            </w:r>
          </w:p>
          <w:p w14:paraId="0A278D60" w14:textId="77777777" w:rsidR="00E933CB" w:rsidRDefault="00825B93">
            <w:pPr>
              <w:spacing w:after="98" w:line="259" w:lineRule="auto"/>
              <w:ind w:left="77" w:right="0" w:firstLine="0"/>
              <w:jc w:val="center"/>
            </w:pPr>
            <w:r>
              <w:t xml:space="preserve"> </w:t>
            </w:r>
          </w:p>
          <w:p w14:paraId="2A6764C8" w14:textId="77777777" w:rsidR="00E933CB" w:rsidRDefault="00825B93">
            <w:pPr>
              <w:spacing w:after="98" w:line="259" w:lineRule="auto"/>
              <w:ind w:left="77" w:right="0" w:firstLine="0"/>
              <w:jc w:val="center"/>
            </w:pPr>
            <w:r>
              <w:t xml:space="preserve"> </w:t>
            </w:r>
          </w:p>
          <w:p w14:paraId="5B921C61" w14:textId="77777777" w:rsidR="00E933CB" w:rsidRDefault="00825B93">
            <w:pPr>
              <w:spacing w:after="0" w:line="259" w:lineRule="auto"/>
              <w:ind w:left="0" w:right="0" w:firstLine="0"/>
              <w:jc w:val="left"/>
            </w:pPr>
            <w:r>
              <w:t xml:space="preserve"> </w:t>
            </w:r>
          </w:p>
        </w:tc>
        <w:tc>
          <w:tcPr>
            <w:tcW w:w="7230" w:type="dxa"/>
            <w:tcBorders>
              <w:top w:val="single" w:sz="4" w:space="0" w:color="000000"/>
              <w:left w:val="single" w:sz="4" w:space="0" w:color="000000"/>
              <w:bottom w:val="single" w:sz="4" w:space="0" w:color="000000"/>
              <w:right w:val="single" w:sz="4" w:space="0" w:color="000000"/>
            </w:tcBorders>
          </w:tcPr>
          <w:p w14:paraId="0F579945" w14:textId="77777777" w:rsidR="004A3CD3" w:rsidRDefault="006C0598">
            <w:pPr>
              <w:spacing w:after="1" w:line="275" w:lineRule="auto"/>
              <w:ind w:left="0" w:right="106" w:firstLine="0"/>
            </w:pPr>
            <w:r>
              <w:t xml:space="preserve">Cooperation agreement of 14 November 2002 between the Federal State, the Flemish Region, the Walloon Region and the Brussels-Capital Region on the establishment, implementation and monitoring of a National Climate Plan, as well as the preparation of reports, in the framework of the United Nations Framework Convention on Climate Change </w:t>
            </w:r>
          </w:p>
          <w:p w14:paraId="2E9FB25A" w14:textId="77777777" w:rsidR="004A3CD3" w:rsidRDefault="006C0598">
            <w:pPr>
              <w:spacing w:after="0" w:line="259" w:lineRule="auto"/>
              <w:ind w:left="0" w:right="0" w:firstLine="0"/>
              <w:jc w:val="left"/>
            </w:pPr>
            <w:r>
              <w:t xml:space="preserve">United Nations Framework Convention on Climate Change and the Kyoto Protocol </w:t>
            </w:r>
          </w:p>
        </w:tc>
      </w:tr>
      <w:tr w:rsidR="00E933CB" w14:paraId="780A5634" w14:textId="77777777">
        <w:trPr>
          <w:trHeight w:val="790"/>
        </w:trPr>
        <w:tc>
          <w:tcPr>
            <w:tcW w:w="674" w:type="dxa"/>
            <w:tcBorders>
              <w:top w:val="single" w:sz="4" w:space="0" w:color="000000"/>
              <w:left w:val="single" w:sz="4" w:space="0" w:color="000000"/>
              <w:bottom w:val="single" w:sz="4" w:space="0" w:color="000000"/>
              <w:right w:val="single" w:sz="4" w:space="0" w:color="000000"/>
            </w:tcBorders>
          </w:tcPr>
          <w:p w14:paraId="28B14292" w14:textId="77777777" w:rsidR="004A3CD3" w:rsidRDefault="006C0598">
            <w:pPr>
              <w:spacing w:after="0" w:line="259" w:lineRule="auto"/>
              <w:ind w:left="0" w:right="111" w:firstLine="0"/>
              <w:jc w:val="center"/>
            </w:pPr>
            <w:r>
              <w:rPr>
                <w:rFonts w:ascii="Century Gothic" w:eastAsia="Century Gothic" w:hAnsi="Century Gothic" w:cs="Century Gothic"/>
                <w:b/>
                <w:sz w:val="20"/>
              </w:rPr>
              <w:t xml:space="preserve">F.2 </w:t>
            </w:r>
          </w:p>
        </w:tc>
        <w:tc>
          <w:tcPr>
            <w:tcW w:w="1277" w:type="dxa"/>
            <w:tcBorders>
              <w:top w:val="single" w:sz="4" w:space="0" w:color="000000"/>
              <w:left w:val="single" w:sz="4" w:space="0" w:color="000000"/>
              <w:bottom w:val="single" w:sz="4" w:space="0" w:color="000000"/>
              <w:right w:val="single" w:sz="4" w:space="0" w:color="000000"/>
            </w:tcBorders>
          </w:tcPr>
          <w:p w14:paraId="33539436" w14:textId="77777777" w:rsidR="004A3CD3" w:rsidRDefault="006C0598">
            <w:pPr>
              <w:spacing w:after="0" w:line="259" w:lineRule="auto"/>
              <w:ind w:left="0" w:right="78" w:firstLine="0"/>
              <w:jc w:val="right"/>
            </w:pPr>
            <w:r>
              <w:t xml:space="preserve">2013 </w:t>
            </w:r>
          </w:p>
        </w:tc>
        <w:tc>
          <w:tcPr>
            <w:tcW w:w="7230" w:type="dxa"/>
            <w:tcBorders>
              <w:top w:val="single" w:sz="4" w:space="0" w:color="000000"/>
              <w:left w:val="single" w:sz="4" w:space="0" w:color="000000"/>
              <w:bottom w:val="single" w:sz="4" w:space="0" w:color="000000"/>
              <w:right w:val="single" w:sz="4" w:space="0" w:color="000000"/>
            </w:tcBorders>
            <w:vAlign w:val="center"/>
          </w:tcPr>
          <w:p w14:paraId="2869A5CC" w14:textId="77777777" w:rsidR="004A3CD3" w:rsidRDefault="006C0598">
            <w:pPr>
              <w:spacing w:after="0" w:line="259" w:lineRule="auto"/>
              <w:ind w:left="0" w:right="0" w:firstLine="0"/>
            </w:pPr>
            <w:r>
              <w:t xml:space="preserve">Royal Decree establishing the federal long-term strategic vision for sustainable development, 18 July 2013 </w:t>
            </w:r>
          </w:p>
        </w:tc>
      </w:tr>
    </w:tbl>
    <w:p w14:paraId="3F99F397" w14:textId="77777777" w:rsidR="00E933CB" w:rsidRDefault="00E933CB">
      <w:pPr>
        <w:spacing w:after="0" w:line="259" w:lineRule="auto"/>
        <w:ind w:left="-1097" w:right="547" w:firstLine="0"/>
        <w:jc w:val="left"/>
      </w:pPr>
    </w:p>
    <w:tbl>
      <w:tblPr>
        <w:tblStyle w:val="TableGrid"/>
        <w:tblW w:w="9182" w:type="dxa"/>
        <w:tblInd w:w="468" w:type="dxa"/>
        <w:tblCellMar>
          <w:top w:w="48" w:type="dxa"/>
          <w:left w:w="108" w:type="dxa"/>
          <w:right w:w="60" w:type="dxa"/>
        </w:tblCellMar>
        <w:tblLook w:val="04A0" w:firstRow="1" w:lastRow="0" w:firstColumn="1" w:lastColumn="0" w:noHBand="0" w:noVBand="1"/>
      </w:tblPr>
      <w:tblGrid>
        <w:gridCol w:w="674"/>
        <w:gridCol w:w="1277"/>
        <w:gridCol w:w="7231"/>
      </w:tblGrid>
      <w:tr w:rsidR="00E933CB" w14:paraId="076CF065" w14:textId="77777777">
        <w:trPr>
          <w:trHeight w:val="320"/>
        </w:trPr>
        <w:tc>
          <w:tcPr>
            <w:tcW w:w="674" w:type="dxa"/>
            <w:tcBorders>
              <w:top w:val="single" w:sz="4" w:space="0" w:color="000000"/>
              <w:left w:val="single" w:sz="4" w:space="0" w:color="000000"/>
              <w:bottom w:val="single" w:sz="4" w:space="0" w:color="000000"/>
              <w:right w:val="single" w:sz="4" w:space="0" w:color="000000"/>
            </w:tcBorders>
          </w:tcPr>
          <w:p w14:paraId="1022B483" w14:textId="77777777" w:rsidR="004A3CD3" w:rsidRDefault="006C0598">
            <w:pPr>
              <w:spacing w:after="0" w:line="259" w:lineRule="auto"/>
              <w:ind w:left="0" w:right="114" w:firstLine="0"/>
              <w:jc w:val="center"/>
            </w:pPr>
            <w:r>
              <w:rPr>
                <w:rFonts w:ascii="Century Gothic" w:eastAsia="Century Gothic" w:hAnsi="Century Gothic" w:cs="Century Gothic"/>
                <w:b/>
                <w:sz w:val="20"/>
              </w:rPr>
              <w:t xml:space="preserve">F.3 </w:t>
            </w:r>
          </w:p>
        </w:tc>
        <w:tc>
          <w:tcPr>
            <w:tcW w:w="1277" w:type="dxa"/>
            <w:tcBorders>
              <w:top w:val="single" w:sz="4" w:space="0" w:color="000000"/>
              <w:left w:val="single" w:sz="4" w:space="0" w:color="000000"/>
              <w:bottom w:val="single" w:sz="4" w:space="0" w:color="000000"/>
              <w:right w:val="single" w:sz="4" w:space="0" w:color="000000"/>
            </w:tcBorders>
          </w:tcPr>
          <w:p w14:paraId="1E73B21A" w14:textId="77777777" w:rsidR="004A3CD3" w:rsidRDefault="006C0598">
            <w:pPr>
              <w:spacing w:after="0" w:line="259" w:lineRule="auto"/>
              <w:ind w:left="0" w:right="80"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57843EE0" w14:textId="77777777" w:rsidR="004A3CD3" w:rsidRDefault="006C0598">
            <w:pPr>
              <w:spacing w:after="0" w:line="259" w:lineRule="auto"/>
              <w:ind w:left="0" w:right="0" w:firstLine="0"/>
              <w:jc w:val="left"/>
            </w:pPr>
            <w:r>
              <w:t xml:space="preserve">Walloon Region, "Climate" Decree, 20 February 2014 </w:t>
            </w:r>
          </w:p>
        </w:tc>
      </w:tr>
      <w:tr w:rsidR="00E933CB" w14:paraId="26CEDC49"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794EFE12" w14:textId="77777777" w:rsidR="004A3CD3" w:rsidRDefault="006C0598">
            <w:pPr>
              <w:spacing w:after="0" w:line="259" w:lineRule="auto"/>
              <w:ind w:left="0" w:right="114" w:firstLine="0"/>
              <w:jc w:val="center"/>
            </w:pPr>
            <w:r>
              <w:rPr>
                <w:rFonts w:ascii="Century Gothic" w:eastAsia="Century Gothic" w:hAnsi="Century Gothic" w:cs="Century Gothic"/>
                <w:b/>
                <w:sz w:val="20"/>
              </w:rPr>
              <w:lastRenderedPageBreak/>
              <w:t xml:space="preserve">F.4 </w:t>
            </w:r>
          </w:p>
        </w:tc>
        <w:tc>
          <w:tcPr>
            <w:tcW w:w="1277" w:type="dxa"/>
            <w:tcBorders>
              <w:top w:val="single" w:sz="4" w:space="0" w:color="000000"/>
              <w:left w:val="single" w:sz="4" w:space="0" w:color="000000"/>
              <w:bottom w:val="single" w:sz="4" w:space="0" w:color="000000"/>
              <w:right w:val="single" w:sz="4" w:space="0" w:color="000000"/>
            </w:tcBorders>
          </w:tcPr>
          <w:p w14:paraId="6675FF42" w14:textId="77777777" w:rsidR="004A3CD3" w:rsidRDefault="006C0598">
            <w:pPr>
              <w:spacing w:after="0" w:line="259" w:lineRule="auto"/>
              <w:ind w:left="0" w:right="80"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57CE7798" w14:textId="77777777" w:rsidR="004A3CD3" w:rsidRDefault="006C0598">
            <w:pPr>
              <w:spacing w:after="0" w:line="259" w:lineRule="auto"/>
              <w:ind w:left="0" w:right="112" w:firstLine="0"/>
            </w:pPr>
            <w:r>
              <w:t xml:space="preserve">Cooperation agreement between the Federal State, the Flemish Region, the Walloon Region and the Brussels-Capital Region on sharing the Belgian climate and energy objectives for the period 2013-2020, M.B., 12 July 2018 </w:t>
            </w:r>
          </w:p>
        </w:tc>
      </w:tr>
      <w:tr w:rsidR="00E933CB" w14:paraId="0F02860E" w14:textId="77777777">
        <w:trPr>
          <w:trHeight w:val="1555"/>
        </w:trPr>
        <w:tc>
          <w:tcPr>
            <w:tcW w:w="674" w:type="dxa"/>
            <w:tcBorders>
              <w:top w:val="single" w:sz="4" w:space="0" w:color="000000"/>
              <w:left w:val="single" w:sz="4" w:space="0" w:color="000000"/>
              <w:bottom w:val="single" w:sz="4" w:space="0" w:color="000000"/>
              <w:right w:val="single" w:sz="4" w:space="0" w:color="000000"/>
            </w:tcBorders>
          </w:tcPr>
          <w:p w14:paraId="68E59CBB" w14:textId="77777777" w:rsidR="004A3CD3" w:rsidRDefault="006C0598">
            <w:pPr>
              <w:spacing w:after="0" w:line="259" w:lineRule="auto"/>
              <w:ind w:left="0" w:right="114" w:firstLine="0"/>
              <w:jc w:val="center"/>
            </w:pPr>
            <w:r>
              <w:rPr>
                <w:rFonts w:ascii="Century Gothic" w:eastAsia="Century Gothic" w:hAnsi="Century Gothic" w:cs="Century Gothic"/>
                <w:b/>
                <w:sz w:val="20"/>
              </w:rPr>
              <w:t xml:space="preserve">F.5 </w:t>
            </w:r>
          </w:p>
        </w:tc>
        <w:tc>
          <w:tcPr>
            <w:tcW w:w="1277" w:type="dxa"/>
            <w:tcBorders>
              <w:top w:val="single" w:sz="4" w:space="0" w:color="000000"/>
              <w:left w:val="single" w:sz="4" w:space="0" w:color="000000"/>
              <w:bottom w:val="single" w:sz="4" w:space="0" w:color="000000"/>
              <w:right w:val="single" w:sz="4" w:space="0" w:color="000000"/>
            </w:tcBorders>
          </w:tcPr>
          <w:p w14:paraId="4BBAA553" w14:textId="77777777" w:rsidR="004A3CD3" w:rsidRDefault="006C0598">
            <w:pPr>
              <w:spacing w:after="0" w:line="259" w:lineRule="auto"/>
              <w:ind w:left="0" w:right="80"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52653080" w14:textId="77777777" w:rsidR="004A3CD3" w:rsidRDefault="006C0598">
            <w:pPr>
              <w:spacing w:after="0" w:line="259" w:lineRule="auto"/>
              <w:ind w:left="0" w:right="110" w:firstLine="0"/>
            </w:pPr>
            <w:r>
              <w:t xml:space="preserve">Proposal for a special law of 6 February 2019 coordinating the policy of the federal authority, the Communities and the Regions on climate change and setting general long-term objectives. Opinion of the Council of State No. 65.404/AG of 4 March 2019, Chamber of Representatives, </w:t>
            </w:r>
            <w:r>
              <w:rPr>
                <w:i/>
              </w:rPr>
              <w:t xml:space="preserve">Doc. Parl. </w:t>
            </w:r>
            <w:r>
              <w:t xml:space="preserve">sess. 2018-2019, no. 54-3517/004 </w:t>
            </w:r>
          </w:p>
        </w:tc>
      </w:tr>
      <w:tr w:rsidR="00E933CB" w14:paraId="7B1D8340"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6EDD7B9C" w14:textId="77777777" w:rsidR="004A3CD3" w:rsidRDefault="006C0598">
            <w:pPr>
              <w:spacing w:after="0" w:line="259" w:lineRule="auto"/>
              <w:ind w:left="0" w:right="114" w:firstLine="0"/>
              <w:jc w:val="center"/>
            </w:pPr>
            <w:r>
              <w:rPr>
                <w:rFonts w:ascii="Century Gothic" w:eastAsia="Century Gothic" w:hAnsi="Century Gothic" w:cs="Century Gothic"/>
                <w:b/>
                <w:sz w:val="20"/>
              </w:rPr>
              <w:t xml:space="preserve">F.6 </w:t>
            </w:r>
          </w:p>
        </w:tc>
        <w:tc>
          <w:tcPr>
            <w:tcW w:w="1277" w:type="dxa"/>
            <w:tcBorders>
              <w:top w:val="single" w:sz="4" w:space="0" w:color="000000"/>
              <w:left w:val="single" w:sz="4" w:space="0" w:color="000000"/>
              <w:bottom w:val="single" w:sz="4" w:space="0" w:color="000000"/>
              <w:right w:val="single" w:sz="4" w:space="0" w:color="000000"/>
            </w:tcBorders>
          </w:tcPr>
          <w:p w14:paraId="41DBF62D" w14:textId="77777777" w:rsidR="004A3CD3" w:rsidRDefault="006C0598">
            <w:pPr>
              <w:spacing w:after="0" w:line="259" w:lineRule="auto"/>
              <w:ind w:left="0" w:right="80"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2E7FE268" w14:textId="77777777" w:rsidR="004A3CD3" w:rsidRDefault="006C0598">
            <w:pPr>
              <w:spacing w:after="0" w:line="259" w:lineRule="auto"/>
              <w:ind w:left="0" w:right="110" w:firstLine="0"/>
            </w:pPr>
            <w:r>
              <w:t xml:space="preserve">March 13, 2019 proposal to revise Article 7bis of the Constitution to entrench climate goals and principles, House of Reps, </w:t>
            </w:r>
            <w:r>
              <w:rPr>
                <w:i/>
              </w:rPr>
              <w:t xml:space="preserve">Doc. </w:t>
            </w:r>
            <w:r>
              <w:t xml:space="preserve">No. 54-3642-001 </w:t>
            </w:r>
          </w:p>
        </w:tc>
      </w:tr>
      <w:tr w:rsidR="00E933CB" w14:paraId="79DFD514" w14:textId="77777777">
        <w:trPr>
          <w:trHeight w:val="349"/>
        </w:trPr>
        <w:tc>
          <w:tcPr>
            <w:tcW w:w="9182" w:type="dxa"/>
            <w:gridSpan w:val="3"/>
            <w:tcBorders>
              <w:top w:val="single" w:sz="4" w:space="0" w:color="000000"/>
              <w:left w:val="single" w:sz="4" w:space="0" w:color="000000"/>
              <w:bottom w:val="single" w:sz="4" w:space="0" w:color="000000"/>
              <w:right w:val="single" w:sz="4" w:space="0" w:color="000000"/>
            </w:tcBorders>
          </w:tcPr>
          <w:p w14:paraId="3641156D" w14:textId="77777777" w:rsidR="004A3CD3" w:rsidRDefault="006C0598">
            <w:pPr>
              <w:spacing w:after="0" w:line="259" w:lineRule="auto"/>
              <w:ind w:left="0" w:right="117" w:firstLine="0"/>
              <w:jc w:val="center"/>
            </w:pPr>
            <w:r>
              <w:rPr>
                <w:b/>
                <w:sz w:val="24"/>
                <w:u w:val="single" w:color="000000"/>
              </w:rPr>
              <w:t xml:space="preserve">Other </w:t>
            </w:r>
          </w:p>
        </w:tc>
      </w:tr>
      <w:tr w:rsidR="00E933CB" w14:paraId="0DDEB304" w14:textId="77777777">
        <w:trPr>
          <w:trHeight w:val="317"/>
        </w:trPr>
        <w:tc>
          <w:tcPr>
            <w:tcW w:w="674" w:type="dxa"/>
            <w:tcBorders>
              <w:top w:val="single" w:sz="4" w:space="0" w:color="000000"/>
              <w:left w:val="single" w:sz="4" w:space="0" w:color="000000"/>
              <w:bottom w:val="single" w:sz="4" w:space="0" w:color="000000"/>
              <w:right w:val="single" w:sz="4" w:space="0" w:color="000000"/>
            </w:tcBorders>
          </w:tcPr>
          <w:p w14:paraId="1AFE6258" w14:textId="77777777" w:rsidR="00E933CB" w:rsidRDefault="00825B93">
            <w:pPr>
              <w:spacing w:after="0" w:line="259" w:lineRule="auto"/>
              <w:ind w:left="0" w:right="63"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C0F8A09" w14:textId="77777777" w:rsidR="004A3CD3" w:rsidRDefault="006C0598">
            <w:pPr>
              <w:spacing w:after="0" w:line="259" w:lineRule="auto"/>
              <w:ind w:left="0" w:right="0" w:firstLine="0"/>
              <w:jc w:val="left"/>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tcPr>
          <w:p w14:paraId="6B2F3A5B" w14:textId="77777777" w:rsidR="004A3CD3" w:rsidRDefault="006C0598">
            <w:pPr>
              <w:spacing w:after="0" w:line="259" w:lineRule="auto"/>
              <w:ind w:left="0" w:right="0" w:firstLine="0"/>
              <w:jc w:val="left"/>
            </w:pPr>
            <w:r>
              <w:rPr>
                <w:b/>
              </w:rPr>
              <w:t xml:space="preserve">Description </w:t>
            </w:r>
          </w:p>
        </w:tc>
      </w:tr>
      <w:tr w:rsidR="00E933CB" w14:paraId="5C675287"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338660F8" w14:textId="77777777" w:rsidR="004A3CD3" w:rsidRDefault="006C0598">
            <w:pPr>
              <w:spacing w:after="0" w:line="259" w:lineRule="auto"/>
              <w:ind w:left="0" w:right="114" w:firstLine="0"/>
              <w:jc w:val="center"/>
            </w:pPr>
            <w:r>
              <w:rPr>
                <w:rFonts w:ascii="Century Gothic" w:eastAsia="Century Gothic" w:hAnsi="Century Gothic" w:cs="Century Gothic"/>
                <w:b/>
                <w:sz w:val="20"/>
              </w:rPr>
              <w:t xml:space="preserve">F.7 </w:t>
            </w:r>
          </w:p>
        </w:tc>
        <w:tc>
          <w:tcPr>
            <w:tcW w:w="1277" w:type="dxa"/>
            <w:tcBorders>
              <w:top w:val="single" w:sz="4" w:space="0" w:color="000000"/>
              <w:left w:val="single" w:sz="4" w:space="0" w:color="000000"/>
              <w:bottom w:val="single" w:sz="4" w:space="0" w:color="000000"/>
              <w:right w:val="single" w:sz="4" w:space="0" w:color="000000"/>
            </w:tcBorders>
          </w:tcPr>
          <w:p w14:paraId="4542CCA1" w14:textId="77777777" w:rsidR="004A3CD3" w:rsidRDefault="006C0598">
            <w:pPr>
              <w:spacing w:after="0" w:line="259" w:lineRule="auto"/>
              <w:ind w:left="0" w:right="80"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2EB121B8" w14:textId="77777777" w:rsidR="004A3CD3" w:rsidRDefault="006C0598">
            <w:pPr>
              <w:spacing w:after="0" w:line="259" w:lineRule="auto"/>
              <w:ind w:left="0" w:right="0" w:firstLine="0"/>
            </w:pPr>
            <w:r>
              <w:t xml:space="preserve">Declaration of the Walloon regional policy, "Shared energy for a sustainable, humane and caring society" (extract), 16 July 2009 </w:t>
            </w:r>
          </w:p>
        </w:tc>
      </w:tr>
      <w:tr w:rsidR="00E933CB" w14:paraId="2183218E" w14:textId="77777777">
        <w:trPr>
          <w:trHeight w:val="1056"/>
        </w:trPr>
        <w:tc>
          <w:tcPr>
            <w:tcW w:w="674" w:type="dxa"/>
            <w:tcBorders>
              <w:top w:val="single" w:sz="4" w:space="0" w:color="000000"/>
              <w:left w:val="single" w:sz="4" w:space="0" w:color="000000"/>
              <w:bottom w:val="single" w:sz="4" w:space="0" w:color="000000"/>
              <w:right w:val="single" w:sz="4" w:space="0" w:color="000000"/>
            </w:tcBorders>
          </w:tcPr>
          <w:p w14:paraId="02D5F836" w14:textId="77777777" w:rsidR="004A3CD3" w:rsidRDefault="006C0598">
            <w:pPr>
              <w:spacing w:after="0" w:line="259" w:lineRule="auto"/>
              <w:ind w:left="0" w:right="114" w:firstLine="0"/>
              <w:jc w:val="center"/>
            </w:pPr>
            <w:r>
              <w:rPr>
                <w:rFonts w:ascii="Century Gothic" w:eastAsia="Century Gothic" w:hAnsi="Century Gothic" w:cs="Century Gothic"/>
                <w:b/>
                <w:sz w:val="20"/>
              </w:rPr>
              <w:t xml:space="preserve">F.8 </w:t>
            </w:r>
          </w:p>
        </w:tc>
        <w:tc>
          <w:tcPr>
            <w:tcW w:w="1277" w:type="dxa"/>
            <w:tcBorders>
              <w:top w:val="single" w:sz="4" w:space="0" w:color="000000"/>
              <w:left w:val="single" w:sz="4" w:space="0" w:color="000000"/>
              <w:bottom w:val="single" w:sz="4" w:space="0" w:color="000000"/>
              <w:right w:val="single" w:sz="4" w:space="0" w:color="000000"/>
            </w:tcBorders>
          </w:tcPr>
          <w:p w14:paraId="659FEA0F" w14:textId="77777777" w:rsidR="004A3CD3" w:rsidRDefault="006C0598">
            <w:pPr>
              <w:spacing w:after="0" w:line="259" w:lineRule="auto"/>
              <w:ind w:left="0" w:right="80"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vAlign w:val="center"/>
          </w:tcPr>
          <w:p w14:paraId="42E3355E" w14:textId="77777777" w:rsidR="004A3CD3" w:rsidRDefault="006C0598">
            <w:pPr>
              <w:spacing w:after="0" w:line="259" w:lineRule="auto"/>
              <w:ind w:left="0" w:right="46" w:firstLine="0"/>
            </w:pPr>
            <w:r>
              <w:t xml:space="preserve">Belgian House of Representatives, Resolution in view of the United Nations Climate Change Conference in Copenhagen from 7 to 18 December 2009 </w:t>
            </w:r>
          </w:p>
        </w:tc>
      </w:tr>
      <w:tr w:rsidR="00E933CB" w14:paraId="02764481"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3EAB0639" w14:textId="77777777" w:rsidR="004A3CD3" w:rsidRDefault="006C0598">
            <w:pPr>
              <w:spacing w:after="0" w:line="259" w:lineRule="auto"/>
              <w:ind w:left="0" w:right="114" w:firstLine="0"/>
              <w:jc w:val="center"/>
            </w:pPr>
            <w:r>
              <w:rPr>
                <w:rFonts w:ascii="Century Gothic" w:eastAsia="Century Gothic" w:hAnsi="Century Gothic" w:cs="Century Gothic"/>
                <w:b/>
                <w:sz w:val="20"/>
              </w:rPr>
              <w:t xml:space="preserve">F.9 </w:t>
            </w:r>
          </w:p>
        </w:tc>
        <w:tc>
          <w:tcPr>
            <w:tcW w:w="1277" w:type="dxa"/>
            <w:tcBorders>
              <w:top w:val="single" w:sz="4" w:space="0" w:color="000000"/>
              <w:left w:val="single" w:sz="4" w:space="0" w:color="000000"/>
              <w:bottom w:val="single" w:sz="4" w:space="0" w:color="000000"/>
              <w:right w:val="single" w:sz="4" w:space="0" w:color="000000"/>
            </w:tcBorders>
          </w:tcPr>
          <w:p w14:paraId="421A970B" w14:textId="77777777" w:rsidR="004A3CD3" w:rsidRDefault="006C0598">
            <w:pPr>
              <w:spacing w:after="0" w:line="259" w:lineRule="auto"/>
              <w:ind w:left="0" w:right="80"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11214EC6" w14:textId="77777777" w:rsidR="004A3CD3" w:rsidRDefault="006C0598">
            <w:pPr>
              <w:spacing w:after="19" w:line="259" w:lineRule="auto"/>
              <w:ind w:left="0" w:right="0" w:firstLine="0"/>
              <w:jc w:val="left"/>
            </w:pPr>
            <w:r>
              <w:t xml:space="preserve">Flemish Parliament, Resolutie betreffende het nieuwe klimaatverdrag van </w:t>
            </w:r>
          </w:p>
          <w:p w14:paraId="45D7CA3C" w14:textId="77777777" w:rsidR="004A3CD3" w:rsidRDefault="006C0598">
            <w:pPr>
              <w:spacing w:after="0" w:line="259" w:lineRule="auto"/>
              <w:ind w:left="0" w:right="0" w:firstLine="0"/>
              <w:jc w:val="left"/>
            </w:pPr>
            <w:r>
              <w:t xml:space="preserve">Kopenhagen, 9 December 2009 </w:t>
            </w:r>
          </w:p>
        </w:tc>
      </w:tr>
      <w:tr w:rsidR="00E933CB" w14:paraId="46766693"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0E2EC123" w14:textId="77777777" w:rsidR="004A3CD3" w:rsidRDefault="006C0598">
            <w:pPr>
              <w:spacing w:after="0" w:line="259" w:lineRule="auto"/>
              <w:ind w:left="7" w:right="0" w:firstLine="0"/>
              <w:jc w:val="left"/>
            </w:pPr>
            <w:r>
              <w:rPr>
                <w:rFonts w:ascii="Century Gothic" w:eastAsia="Century Gothic" w:hAnsi="Century Gothic" w:cs="Century Gothic"/>
                <w:b/>
                <w:sz w:val="20"/>
              </w:rPr>
              <w:t xml:space="preserve">F.10 </w:t>
            </w:r>
          </w:p>
        </w:tc>
        <w:tc>
          <w:tcPr>
            <w:tcW w:w="1277" w:type="dxa"/>
            <w:tcBorders>
              <w:top w:val="single" w:sz="4" w:space="0" w:color="000000"/>
              <w:left w:val="single" w:sz="4" w:space="0" w:color="000000"/>
              <w:bottom w:val="single" w:sz="4" w:space="0" w:color="000000"/>
              <w:right w:val="single" w:sz="4" w:space="0" w:color="000000"/>
            </w:tcBorders>
          </w:tcPr>
          <w:p w14:paraId="32B41F01" w14:textId="77777777" w:rsidR="004A3CD3" w:rsidRDefault="006C0598">
            <w:pPr>
              <w:spacing w:after="0" w:line="259" w:lineRule="auto"/>
              <w:ind w:left="0" w:right="80"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43163830" w14:textId="77777777" w:rsidR="004A3CD3" w:rsidRDefault="006C0598">
            <w:pPr>
              <w:spacing w:after="0" w:line="259" w:lineRule="auto"/>
              <w:ind w:left="0" w:right="0" w:firstLine="0"/>
            </w:pPr>
            <w:r>
              <w:t xml:space="preserve">Court of Audit, "Federal Climate Policy - Implementation of the Kyoto Protocol" (without annexes), June 2009 </w:t>
            </w:r>
          </w:p>
        </w:tc>
      </w:tr>
      <w:tr w:rsidR="00E933CB" w14:paraId="20F1F0E7" w14:textId="77777777">
        <w:trPr>
          <w:trHeight w:val="627"/>
        </w:trPr>
        <w:tc>
          <w:tcPr>
            <w:tcW w:w="674" w:type="dxa"/>
            <w:tcBorders>
              <w:top w:val="single" w:sz="4" w:space="0" w:color="000000"/>
              <w:left w:val="single" w:sz="4" w:space="0" w:color="000000"/>
              <w:bottom w:val="single" w:sz="4" w:space="0" w:color="000000"/>
              <w:right w:val="single" w:sz="4" w:space="0" w:color="000000"/>
            </w:tcBorders>
          </w:tcPr>
          <w:p w14:paraId="4749E6C6" w14:textId="77777777" w:rsidR="004A3CD3" w:rsidRDefault="006C0598">
            <w:pPr>
              <w:spacing w:after="0" w:line="259" w:lineRule="auto"/>
              <w:ind w:left="7" w:right="0" w:firstLine="0"/>
              <w:jc w:val="left"/>
            </w:pPr>
            <w:r>
              <w:rPr>
                <w:rFonts w:ascii="Century Gothic" w:eastAsia="Century Gothic" w:hAnsi="Century Gothic" w:cs="Century Gothic"/>
                <w:b/>
                <w:sz w:val="20"/>
              </w:rPr>
              <w:t xml:space="preserve">F.11 </w:t>
            </w:r>
          </w:p>
        </w:tc>
        <w:tc>
          <w:tcPr>
            <w:tcW w:w="1277" w:type="dxa"/>
            <w:tcBorders>
              <w:top w:val="single" w:sz="4" w:space="0" w:color="000000"/>
              <w:left w:val="single" w:sz="4" w:space="0" w:color="000000"/>
              <w:bottom w:val="single" w:sz="4" w:space="0" w:color="000000"/>
              <w:right w:val="single" w:sz="4" w:space="0" w:color="000000"/>
            </w:tcBorders>
          </w:tcPr>
          <w:p w14:paraId="79271DCE" w14:textId="77777777" w:rsidR="004A3CD3" w:rsidRDefault="006C0598">
            <w:pPr>
              <w:spacing w:after="0" w:line="259" w:lineRule="auto"/>
              <w:ind w:left="0" w:right="80"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6CAF6CE8" w14:textId="77777777" w:rsidR="004A3CD3" w:rsidRDefault="006C0598">
            <w:pPr>
              <w:spacing w:after="0" w:line="259" w:lineRule="auto"/>
              <w:ind w:left="0" w:right="0" w:firstLine="0"/>
            </w:pPr>
            <w:r>
              <w:t xml:space="preserve">Minaraad, Nationaal Klimaatplan van België 2009 - 2012: stand van zaken, 19 February 2009 </w:t>
            </w:r>
          </w:p>
        </w:tc>
      </w:tr>
      <w:tr w:rsidR="00E933CB" w14:paraId="7620C669"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7CB381B1" w14:textId="77777777" w:rsidR="004A3CD3" w:rsidRDefault="006C0598">
            <w:pPr>
              <w:spacing w:after="0" w:line="259" w:lineRule="auto"/>
              <w:ind w:left="7" w:right="0" w:firstLine="0"/>
              <w:jc w:val="left"/>
            </w:pPr>
            <w:r>
              <w:rPr>
                <w:rFonts w:ascii="Century Gothic" w:eastAsia="Century Gothic" w:hAnsi="Century Gothic" w:cs="Century Gothic"/>
                <w:b/>
                <w:sz w:val="20"/>
              </w:rPr>
              <w:t xml:space="preserve">F.12 </w:t>
            </w:r>
          </w:p>
        </w:tc>
        <w:tc>
          <w:tcPr>
            <w:tcW w:w="1277" w:type="dxa"/>
            <w:tcBorders>
              <w:top w:val="single" w:sz="4" w:space="0" w:color="000000"/>
              <w:left w:val="single" w:sz="4" w:space="0" w:color="000000"/>
              <w:bottom w:val="single" w:sz="4" w:space="0" w:color="000000"/>
              <w:right w:val="single" w:sz="4" w:space="0" w:color="000000"/>
            </w:tcBorders>
          </w:tcPr>
          <w:p w14:paraId="0D8350D9" w14:textId="77777777" w:rsidR="004A3CD3" w:rsidRDefault="006C0598">
            <w:pPr>
              <w:spacing w:after="0" w:line="259" w:lineRule="auto"/>
              <w:ind w:left="0" w:right="80"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01C15DE4" w14:textId="77777777" w:rsidR="004A3CD3" w:rsidRDefault="006C0598">
            <w:pPr>
              <w:spacing w:after="16" w:line="259" w:lineRule="auto"/>
              <w:ind w:left="0" w:right="0" w:firstLine="0"/>
              <w:jc w:val="left"/>
            </w:pPr>
            <w:r>
              <w:t xml:space="preserve">Minaraad, Advies van 26 november 2009 over de Klimaattop in Kopenhagen, </w:t>
            </w:r>
          </w:p>
          <w:p w14:paraId="723BAB1F" w14:textId="77777777" w:rsidR="004A3CD3" w:rsidRDefault="006C0598">
            <w:pPr>
              <w:spacing w:after="0" w:line="259" w:lineRule="auto"/>
              <w:ind w:left="0" w:right="0" w:firstLine="0"/>
              <w:jc w:val="left"/>
            </w:pPr>
            <w:r>
              <w:t xml:space="preserve">26 November 2009 </w:t>
            </w:r>
          </w:p>
        </w:tc>
      </w:tr>
      <w:tr w:rsidR="00E933CB" w14:paraId="5A6C9D39"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6268AE8B" w14:textId="77777777" w:rsidR="004A3CD3" w:rsidRDefault="006C0598">
            <w:pPr>
              <w:spacing w:after="0" w:line="259" w:lineRule="auto"/>
              <w:ind w:left="7" w:right="0" w:firstLine="0"/>
              <w:jc w:val="left"/>
            </w:pPr>
            <w:r>
              <w:rPr>
                <w:rFonts w:ascii="Century Gothic" w:eastAsia="Century Gothic" w:hAnsi="Century Gothic" w:cs="Century Gothic"/>
                <w:b/>
                <w:sz w:val="20"/>
              </w:rPr>
              <w:t xml:space="preserve">F.13 </w:t>
            </w:r>
          </w:p>
        </w:tc>
        <w:tc>
          <w:tcPr>
            <w:tcW w:w="1277" w:type="dxa"/>
            <w:tcBorders>
              <w:top w:val="single" w:sz="4" w:space="0" w:color="000000"/>
              <w:left w:val="single" w:sz="4" w:space="0" w:color="000000"/>
              <w:bottom w:val="single" w:sz="4" w:space="0" w:color="000000"/>
              <w:right w:val="single" w:sz="4" w:space="0" w:color="000000"/>
            </w:tcBorders>
          </w:tcPr>
          <w:p w14:paraId="64FCE2D6" w14:textId="77777777" w:rsidR="004A3CD3" w:rsidRDefault="006C0598">
            <w:pPr>
              <w:spacing w:after="0" w:line="259" w:lineRule="auto"/>
              <w:ind w:left="0" w:right="80"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54970B80" w14:textId="77777777" w:rsidR="004A3CD3" w:rsidRDefault="006C0598">
            <w:pPr>
              <w:spacing w:after="0" w:line="276" w:lineRule="auto"/>
              <w:ind w:left="0" w:right="0" w:firstLine="0"/>
            </w:pPr>
            <w:r>
              <w:t xml:space="preserve">Resolution of 3 December 2009 in view of the UN Climate Change Conference in Copenhagen from 7 to 18 December 2009, </w:t>
            </w:r>
          </w:p>
          <w:p w14:paraId="41A10C96" w14:textId="77777777" w:rsidR="004A3CD3" w:rsidRDefault="006C0598">
            <w:pPr>
              <w:spacing w:after="0" w:line="259" w:lineRule="auto"/>
              <w:ind w:left="0" w:right="0" w:firstLine="0"/>
              <w:jc w:val="left"/>
            </w:pPr>
            <w:r>
              <w:t>House of Representatives, Parl</w:t>
            </w:r>
            <w:r>
              <w:rPr>
                <w:i/>
              </w:rPr>
              <w:t xml:space="preserve">. </w:t>
            </w:r>
            <w:r>
              <w:t xml:space="preserve">Ord. sess. 2009-2010, No. 52 2263/002 </w:t>
            </w:r>
          </w:p>
        </w:tc>
      </w:tr>
      <w:tr w:rsidR="00E933CB" w14:paraId="40EBF013"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13D87F88" w14:textId="77777777" w:rsidR="004A3CD3" w:rsidRDefault="006C0598">
            <w:pPr>
              <w:spacing w:after="0" w:line="259" w:lineRule="auto"/>
              <w:ind w:left="7" w:right="0" w:firstLine="0"/>
              <w:jc w:val="left"/>
            </w:pPr>
            <w:r>
              <w:rPr>
                <w:rFonts w:ascii="Century Gothic" w:eastAsia="Century Gothic" w:hAnsi="Century Gothic" w:cs="Century Gothic"/>
                <w:b/>
                <w:sz w:val="20"/>
              </w:rPr>
              <w:t xml:space="preserve">F.14 </w:t>
            </w:r>
          </w:p>
        </w:tc>
        <w:tc>
          <w:tcPr>
            <w:tcW w:w="1277" w:type="dxa"/>
            <w:tcBorders>
              <w:top w:val="single" w:sz="4" w:space="0" w:color="000000"/>
              <w:left w:val="single" w:sz="4" w:space="0" w:color="000000"/>
              <w:bottom w:val="single" w:sz="4" w:space="0" w:color="000000"/>
              <w:right w:val="single" w:sz="4" w:space="0" w:color="000000"/>
            </w:tcBorders>
          </w:tcPr>
          <w:p w14:paraId="73A1467D" w14:textId="77777777" w:rsidR="004A3CD3" w:rsidRDefault="006C0598">
            <w:pPr>
              <w:spacing w:after="0" w:line="259" w:lineRule="auto"/>
              <w:ind w:left="0" w:right="80" w:firstLine="0"/>
              <w:jc w:val="right"/>
            </w:pPr>
            <w:r>
              <w:t xml:space="preserve">2010 </w:t>
            </w:r>
          </w:p>
        </w:tc>
        <w:tc>
          <w:tcPr>
            <w:tcW w:w="7230" w:type="dxa"/>
            <w:tcBorders>
              <w:top w:val="single" w:sz="4" w:space="0" w:color="000000"/>
              <w:left w:val="single" w:sz="4" w:space="0" w:color="000000"/>
              <w:bottom w:val="single" w:sz="4" w:space="0" w:color="000000"/>
              <w:right w:val="single" w:sz="4" w:space="0" w:color="000000"/>
            </w:tcBorders>
          </w:tcPr>
          <w:p w14:paraId="0D1A318F" w14:textId="77777777" w:rsidR="004A3CD3" w:rsidRDefault="006C0598">
            <w:pPr>
              <w:spacing w:after="0" w:line="259" w:lineRule="auto"/>
              <w:ind w:left="0" w:right="0" w:firstLine="0"/>
              <w:jc w:val="left"/>
            </w:pPr>
            <w:r>
              <w:t xml:space="preserve">Minaraad, Advies over de klimaattop in Cancún, 28 October 2010 </w:t>
            </w:r>
          </w:p>
        </w:tc>
      </w:tr>
      <w:tr w:rsidR="00E933CB" w14:paraId="5BD252F4"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3665DA6D" w14:textId="77777777" w:rsidR="004A3CD3" w:rsidRDefault="006C0598">
            <w:pPr>
              <w:spacing w:after="0" w:line="259" w:lineRule="auto"/>
              <w:ind w:left="7" w:right="0" w:firstLine="0"/>
              <w:jc w:val="left"/>
            </w:pPr>
            <w:r>
              <w:rPr>
                <w:rFonts w:ascii="Century Gothic" w:eastAsia="Century Gothic" w:hAnsi="Century Gothic" w:cs="Century Gothic"/>
                <w:b/>
                <w:sz w:val="20"/>
              </w:rPr>
              <w:t xml:space="preserve">F.15 </w:t>
            </w:r>
          </w:p>
        </w:tc>
        <w:tc>
          <w:tcPr>
            <w:tcW w:w="1277" w:type="dxa"/>
            <w:tcBorders>
              <w:top w:val="single" w:sz="4" w:space="0" w:color="000000"/>
              <w:left w:val="single" w:sz="4" w:space="0" w:color="000000"/>
              <w:bottom w:val="single" w:sz="4" w:space="0" w:color="000000"/>
              <w:right w:val="single" w:sz="4" w:space="0" w:color="000000"/>
            </w:tcBorders>
          </w:tcPr>
          <w:p w14:paraId="7C79530C" w14:textId="77777777" w:rsidR="004A3CD3" w:rsidRDefault="006C0598">
            <w:pPr>
              <w:spacing w:after="0" w:line="259" w:lineRule="auto"/>
              <w:ind w:left="0" w:right="80" w:firstLine="0"/>
              <w:jc w:val="right"/>
            </w:pPr>
            <w:r>
              <w:t xml:space="preserve">2011 </w:t>
            </w:r>
          </w:p>
        </w:tc>
        <w:tc>
          <w:tcPr>
            <w:tcW w:w="7230" w:type="dxa"/>
            <w:tcBorders>
              <w:top w:val="single" w:sz="4" w:space="0" w:color="000000"/>
              <w:left w:val="single" w:sz="4" w:space="0" w:color="000000"/>
              <w:bottom w:val="single" w:sz="4" w:space="0" w:color="000000"/>
              <w:right w:val="single" w:sz="4" w:space="0" w:color="000000"/>
            </w:tcBorders>
          </w:tcPr>
          <w:p w14:paraId="5573F030" w14:textId="77777777" w:rsidR="004A3CD3" w:rsidRDefault="006C0598">
            <w:pPr>
              <w:spacing w:after="0" w:line="259" w:lineRule="auto"/>
              <w:ind w:left="0" w:right="0" w:firstLine="0"/>
              <w:jc w:val="left"/>
            </w:pPr>
            <w:r>
              <w:t xml:space="preserve">Institutional Agreement on the Sixth State Reform, 11 October 2011 </w:t>
            </w:r>
          </w:p>
        </w:tc>
      </w:tr>
      <w:tr w:rsidR="00E933CB" w14:paraId="7201902B"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2EC53B99" w14:textId="77777777" w:rsidR="004A3CD3" w:rsidRDefault="006C0598">
            <w:pPr>
              <w:spacing w:after="0" w:line="259" w:lineRule="auto"/>
              <w:ind w:left="7" w:right="0" w:firstLine="0"/>
              <w:jc w:val="left"/>
            </w:pPr>
            <w:r>
              <w:rPr>
                <w:rFonts w:ascii="Century Gothic" w:eastAsia="Century Gothic" w:hAnsi="Century Gothic" w:cs="Century Gothic"/>
                <w:b/>
                <w:sz w:val="20"/>
              </w:rPr>
              <w:t xml:space="preserve">F.16 </w:t>
            </w:r>
          </w:p>
        </w:tc>
        <w:tc>
          <w:tcPr>
            <w:tcW w:w="1277" w:type="dxa"/>
            <w:tcBorders>
              <w:top w:val="single" w:sz="4" w:space="0" w:color="000000"/>
              <w:left w:val="single" w:sz="4" w:space="0" w:color="000000"/>
              <w:bottom w:val="single" w:sz="4" w:space="0" w:color="000000"/>
              <w:right w:val="single" w:sz="4" w:space="0" w:color="000000"/>
            </w:tcBorders>
          </w:tcPr>
          <w:p w14:paraId="5F8C3811" w14:textId="77777777" w:rsidR="004A3CD3" w:rsidRDefault="006C0598">
            <w:pPr>
              <w:spacing w:after="0" w:line="259" w:lineRule="auto"/>
              <w:ind w:left="0" w:right="80"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214FDC10" w14:textId="77777777" w:rsidR="004A3CD3" w:rsidRDefault="006C0598">
            <w:pPr>
              <w:spacing w:after="19" w:line="259" w:lineRule="auto"/>
              <w:ind w:left="0" w:right="0" w:firstLine="0"/>
              <w:jc w:val="left"/>
            </w:pPr>
            <w:r>
              <w:t xml:space="preserve">Federal Council for Sustainable Development, Follow-up to the 2014 opinions, 31 December </w:t>
            </w:r>
          </w:p>
          <w:p w14:paraId="0FBA1D45" w14:textId="77777777" w:rsidR="004A3CD3" w:rsidRDefault="006C0598">
            <w:pPr>
              <w:spacing w:after="0" w:line="259" w:lineRule="auto"/>
              <w:ind w:left="0" w:right="0" w:firstLine="0"/>
              <w:jc w:val="left"/>
            </w:pPr>
            <w:r>
              <w:t xml:space="preserve">2014 </w:t>
            </w:r>
          </w:p>
        </w:tc>
      </w:tr>
      <w:tr w:rsidR="00E933CB" w14:paraId="58DB3E77"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4104B2FD" w14:textId="77777777" w:rsidR="004A3CD3" w:rsidRDefault="006C0598">
            <w:pPr>
              <w:spacing w:after="0" w:line="259" w:lineRule="auto"/>
              <w:ind w:left="7" w:right="0" w:firstLine="0"/>
              <w:jc w:val="left"/>
            </w:pPr>
            <w:r>
              <w:rPr>
                <w:rFonts w:ascii="Century Gothic" w:eastAsia="Century Gothic" w:hAnsi="Century Gothic" w:cs="Century Gothic"/>
                <w:b/>
                <w:sz w:val="20"/>
              </w:rPr>
              <w:t xml:space="preserve">F.17 </w:t>
            </w:r>
          </w:p>
        </w:tc>
        <w:tc>
          <w:tcPr>
            <w:tcW w:w="1277" w:type="dxa"/>
            <w:tcBorders>
              <w:top w:val="single" w:sz="4" w:space="0" w:color="000000"/>
              <w:left w:val="single" w:sz="4" w:space="0" w:color="000000"/>
              <w:bottom w:val="single" w:sz="4" w:space="0" w:color="000000"/>
              <w:right w:val="single" w:sz="4" w:space="0" w:color="000000"/>
            </w:tcBorders>
          </w:tcPr>
          <w:p w14:paraId="6C536701" w14:textId="77777777" w:rsidR="004A3CD3" w:rsidRDefault="006C0598">
            <w:pPr>
              <w:spacing w:after="0" w:line="259" w:lineRule="auto"/>
              <w:ind w:left="0" w:right="80"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56A37C0F" w14:textId="77777777" w:rsidR="004A3CD3" w:rsidRDefault="006C0598">
            <w:pPr>
              <w:spacing w:after="0" w:line="259" w:lineRule="auto"/>
              <w:ind w:left="0" w:right="0" w:firstLine="0"/>
            </w:pPr>
            <w:r>
              <w:t xml:space="preserve">Federal Council for Sustainable Development, Opinion on making Belgium's transition to a low-carbon society a reality in 2050, 3 June 2014 </w:t>
            </w:r>
          </w:p>
        </w:tc>
      </w:tr>
      <w:tr w:rsidR="00E933CB" w14:paraId="489C11F7" w14:textId="77777777">
        <w:trPr>
          <w:trHeight w:val="627"/>
        </w:trPr>
        <w:tc>
          <w:tcPr>
            <w:tcW w:w="674" w:type="dxa"/>
            <w:tcBorders>
              <w:top w:val="single" w:sz="4" w:space="0" w:color="000000"/>
              <w:left w:val="single" w:sz="4" w:space="0" w:color="000000"/>
              <w:bottom w:val="single" w:sz="4" w:space="0" w:color="000000"/>
              <w:right w:val="single" w:sz="4" w:space="0" w:color="000000"/>
            </w:tcBorders>
          </w:tcPr>
          <w:p w14:paraId="6DF82E19" w14:textId="77777777" w:rsidR="004A3CD3" w:rsidRDefault="006C0598">
            <w:pPr>
              <w:spacing w:after="0" w:line="259" w:lineRule="auto"/>
              <w:ind w:left="7" w:right="0" w:firstLine="0"/>
              <w:jc w:val="left"/>
            </w:pPr>
            <w:r>
              <w:rPr>
                <w:rFonts w:ascii="Century Gothic" w:eastAsia="Century Gothic" w:hAnsi="Century Gothic" w:cs="Century Gothic"/>
                <w:b/>
                <w:sz w:val="20"/>
              </w:rPr>
              <w:t xml:space="preserve">F.18 </w:t>
            </w:r>
          </w:p>
        </w:tc>
        <w:tc>
          <w:tcPr>
            <w:tcW w:w="1277" w:type="dxa"/>
            <w:tcBorders>
              <w:top w:val="single" w:sz="4" w:space="0" w:color="000000"/>
              <w:left w:val="single" w:sz="4" w:space="0" w:color="000000"/>
              <w:bottom w:val="single" w:sz="4" w:space="0" w:color="000000"/>
              <w:right w:val="single" w:sz="4" w:space="0" w:color="000000"/>
            </w:tcBorders>
          </w:tcPr>
          <w:p w14:paraId="650D713C" w14:textId="77777777" w:rsidR="004A3CD3" w:rsidRDefault="006C0598">
            <w:pPr>
              <w:spacing w:after="0" w:line="259" w:lineRule="auto"/>
              <w:ind w:left="0" w:right="80" w:firstLine="0"/>
              <w:jc w:val="right"/>
            </w:pPr>
            <w:r>
              <w:t xml:space="preserve">2016 </w:t>
            </w:r>
          </w:p>
        </w:tc>
        <w:tc>
          <w:tcPr>
            <w:tcW w:w="7230" w:type="dxa"/>
            <w:tcBorders>
              <w:top w:val="single" w:sz="4" w:space="0" w:color="000000"/>
              <w:left w:val="single" w:sz="4" w:space="0" w:color="000000"/>
              <w:bottom w:val="single" w:sz="4" w:space="0" w:color="000000"/>
              <w:right w:val="single" w:sz="4" w:space="0" w:color="000000"/>
            </w:tcBorders>
          </w:tcPr>
          <w:p w14:paraId="4FBE0A40" w14:textId="77777777" w:rsidR="004A3CD3" w:rsidRDefault="006C0598">
            <w:pPr>
              <w:spacing w:after="0" w:line="259" w:lineRule="auto"/>
              <w:ind w:left="0" w:right="0" w:firstLine="0"/>
            </w:pPr>
            <w:r>
              <w:t xml:space="preserve">Federal Council for Sustainable Development, Opinion on governance in climate policy, 4 July 2016 </w:t>
            </w:r>
          </w:p>
        </w:tc>
      </w:tr>
      <w:tr w:rsidR="00E933CB" w14:paraId="666186F0" w14:textId="77777777">
        <w:trPr>
          <w:trHeight w:val="938"/>
        </w:trPr>
        <w:tc>
          <w:tcPr>
            <w:tcW w:w="674" w:type="dxa"/>
            <w:tcBorders>
              <w:top w:val="single" w:sz="4" w:space="0" w:color="000000"/>
              <w:left w:val="single" w:sz="4" w:space="0" w:color="000000"/>
              <w:bottom w:val="single" w:sz="4" w:space="0" w:color="000000"/>
              <w:right w:val="single" w:sz="4" w:space="0" w:color="000000"/>
            </w:tcBorders>
          </w:tcPr>
          <w:p w14:paraId="266A0CF8" w14:textId="77777777" w:rsidR="004A3CD3" w:rsidRDefault="006C0598">
            <w:pPr>
              <w:spacing w:after="0" w:line="259" w:lineRule="auto"/>
              <w:ind w:left="7" w:right="0" w:firstLine="0"/>
              <w:jc w:val="left"/>
            </w:pPr>
            <w:r>
              <w:rPr>
                <w:rFonts w:ascii="Century Gothic" w:eastAsia="Century Gothic" w:hAnsi="Century Gothic" w:cs="Century Gothic"/>
                <w:b/>
                <w:sz w:val="20"/>
              </w:rPr>
              <w:t xml:space="preserve">F.19 </w:t>
            </w:r>
          </w:p>
        </w:tc>
        <w:tc>
          <w:tcPr>
            <w:tcW w:w="1277" w:type="dxa"/>
            <w:tcBorders>
              <w:top w:val="single" w:sz="4" w:space="0" w:color="000000"/>
              <w:left w:val="single" w:sz="4" w:space="0" w:color="000000"/>
              <w:bottom w:val="single" w:sz="4" w:space="0" w:color="000000"/>
              <w:right w:val="single" w:sz="4" w:space="0" w:color="000000"/>
            </w:tcBorders>
          </w:tcPr>
          <w:p w14:paraId="4D805092" w14:textId="77777777" w:rsidR="004A3CD3" w:rsidRDefault="006C0598">
            <w:pPr>
              <w:spacing w:after="0" w:line="259" w:lineRule="auto"/>
              <w:ind w:left="0" w:right="80" w:firstLine="0"/>
              <w:jc w:val="right"/>
            </w:pPr>
            <w:r>
              <w:t xml:space="preserve">2017 </w:t>
            </w:r>
          </w:p>
        </w:tc>
        <w:tc>
          <w:tcPr>
            <w:tcW w:w="7230" w:type="dxa"/>
            <w:tcBorders>
              <w:top w:val="single" w:sz="4" w:space="0" w:color="000000"/>
              <w:left w:val="single" w:sz="4" w:space="0" w:color="000000"/>
              <w:bottom w:val="single" w:sz="4" w:space="0" w:color="000000"/>
              <w:right w:val="single" w:sz="4" w:space="0" w:color="000000"/>
            </w:tcBorders>
          </w:tcPr>
          <w:p w14:paraId="4E9FE002" w14:textId="77777777" w:rsidR="004A3CD3" w:rsidRDefault="006C0598">
            <w:pPr>
              <w:spacing w:after="0" w:line="259" w:lineRule="auto"/>
              <w:ind w:left="0" w:right="110" w:firstLine="0"/>
            </w:pPr>
            <w:r>
              <w:t xml:space="preserve">Belgian Senate, Information report on the intra-Belgian decision-making process regarding the distribution of the climate effort with regard to climate objectives, 23 January 2007 </w:t>
            </w:r>
          </w:p>
        </w:tc>
      </w:tr>
      <w:tr w:rsidR="00E933CB" w14:paraId="46DBB6EC"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468299B3" w14:textId="77777777" w:rsidR="004A3CD3" w:rsidRDefault="006C0598">
            <w:pPr>
              <w:spacing w:after="0" w:line="259" w:lineRule="auto"/>
              <w:ind w:left="7" w:right="0" w:firstLine="0"/>
              <w:jc w:val="left"/>
            </w:pPr>
            <w:r>
              <w:rPr>
                <w:rFonts w:ascii="Century Gothic" w:eastAsia="Century Gothic" w:hAnsi="Century Gothic" w:cs="Century Gothic"/>
                <w:b/>
                <w:sz w:val="20"/>
              </w:rPr>
              <w:lastRenderedPageBreak/>
              <w:t xml:space="preserve">F.20 </w:t>
            </w:r>
          </w:p>
        </w:tc>
        <w:tc>
          <w:tcPr>
            <w:tcW w:w="1277" w:type="dxa"/>
            <w:tcBorders>
              <w:top w:val="single" w:sz="4" w:space="0" w:color="000000"/>
              <w:left w:val="single" w:sz="4" w:space="0" w:color="000000"/>
              <w:bottom w:val="single" w:sz="4" w:space="0" w:color="000000"/>
              <w:right w:val="single" w:sz="4" w:space="0" w:color="000000"/>
            </w:tcBorders>
          </w:tcPr>
          <w:p w14:paraId="1B4F532D" w14:textId="77777777" w:rsidR="004A3CD3" w:rsidRDefault="006C0598">
            <w:pPr>
              <w:spacing w:after="0" w:line="259" w:lineRule="auto"/>
              <w:ind w:left="0" w:right="80" w:firstLine="0"/>
              <w:jc w:val="right"/>
            </w:pPr>
            <w:r>
              <w:t xml:space="preserve">2017 </w:t>
            </w:r>
          </w:p>
        </w:tc>
        <w:tc>
          <w:tcPr>
            <w:tcW w:w="7230" w:type="dxa"/>
            <w:tcBorders>
              <w:top w:val="single" w:sz="4" w:space="0" w:color="000000"/>
              <w:left w:val="single" w:sz="4" w:space="0" w:color="000000"/>
              <w:bottom w:val="single" w:sz="4" w:space="0" w:color="000000"/>
              <w:right w:val="single" w:sz="4" w:space="0" w:color="000000"/>
            </w:tcBorders>
          </w:tcPr>
          <w:p w14:paraId="4D36B572" w14:textId="77777777" w:rsidR="004A3CD3" w:rsidRDefault="006C0598">
            <w:pPr>
              <w:spacing w:after="0" w:line="259" w:lineRule="auto"/>
              <w:ind w:left="0" w:right="0" w:firstLine="0"/>
            </w:pPr>
            <w:r>
              <w:t xml:space="preserve">Federal Planning Bureau, December 2017 Federal Report "Making the Global Sustainable Development Goals a Reality." </w:t>
            </w:r>
          </w:p>
        </w:tc>
      </w:tr>
      <w:tr w:rsidR="00E933CB" w14:paraId="6C29FA58" w14:textId="77777777">
        <w:trPr>
          <w:trHeight w:val="320"/>
        </w:trPr>
        <w:tc>
          <w:tcPr>
            <w:tcW w:w="674" w:type="dxa"/>
            <w:tcBorders>
              <w:top w:val="single" w:sz="4" w:space="0" w:color="000000"/>
              <w:left w:val="single" w:sz="4" w:space="0" w:color="000000"/>
              <w:bottom w:val="single" w:sz="4" w:space="0" w:color="000000"/>
              <w:right w:val="single" w:sz="4" w:space="0" w:color="000000"/>
            </w:tcBorders>
          </w:tcPr>
          <w:p w14:paraId="760553C6" w14:textId="77777777" w:rsidR="004A3CD3" w:rsidRDefault="006C0598">
            <w:pPr>
              <w:spacing w:after="0" w:line="259" w:lineRule="auto"/>
              <w:ind w:left="7" w:right="0" w:firstLine="0"/>
              <w:jc w:val="left"/>
            </w:pPr>
            <w:r>
              <w:rPr>
                <w:rFonts w:ascii="Century Gothic" w:eastAsia="Century Gothic" w:hAnsi="Century Gothic" w:cs="Century Gothic"/>
                <w:b/>
                <w:sz w:val="20"/>
              </w:rPr>
              <w:t xml:space="preserve">F.21 </w:t>
            </w:r>
          </w:p>
        </w:tc>
        <w:tc>
          <w:tcPr>
            <w:tcW w:w="1277" w:type="dxa"/>
            <w:tcBorders>
              <w:top w:val="single" w:sz="4" w:space="0" w:color="000000"/>
              <w:left w:val="single" w:sz="4" w:space="0" w:color="000000"/>
              <w:bottom w:val="single" w:sz="4" w:space="0" w:color="000000"/>
              <w:right w:val="single" w:sz="4" w:space="0" w:color="000000"/>
            </w:tcBorders>
          </w:tcPr>
          <w:p w14:paraId="456BBD2E" w14:textId="77777777" w:rsidR="004A3CD3" w:rsidRDefault="006C0598">
            <w:pPr>
              <w:spacing w:after="0" w:line="259" w:lineRule="auto"/>
              <w:ind w:left="0" w:right="49"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51455711" w14:textId="77777777" w:rsidR="004A3CD3" w:rsidRDefault="006C0598">
            <w:pPr>
              <w:spacing w:after="0" w:line="259" w:lineRule="auto"/>
              <w:ind w:left="0" w:right="0" w:firstLine="0"/>
              <w:jc w:val="left"/>
            </w:pPr>
            <w:r>
              <w:t xml:space="preserve">Declaration of the Walloon regional policy 2019-2024 </w:t>
            </w:r>
          </w:p>
        </w:tc>
      </w:tr>
      <w:tr w:rsidR="00E933CB" w14:paraId="77E34903"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2175F3A3" w14:textId="77777777" w:rsidR="004A3CD3" w:rsidRDefault="006C0598">
            <w:pPr>
              <w:spacing w:after="0" w:line="259" w:lineRule="auto"/>
              <w:ind w:left="7" w:right="0" w:firstLine="0"/>
              <w:jc w:val="left"/>
            </w:pPr>
            <w:r>
              <w:rPr>
                <w:rFonts w:ascii="Century Gothic" w:eastAsia="Century Gothic" w:hAnsi="Century Gothic" w:cs="Century Gothic"/>
                <w:b/>
                <w:sz w:val="20"/>
              </w:rPr>
              <w:t xml:space="preserve">F.22 </w:t>
            </w:r>
          </w:p>
        </w:tc>
        <w:tc>
          <w:tcPr>
            <w:tcW w:w="1277" w:type="dxa"/>
            <w:tcBorders>
              <w:top w:val="single" w:sz="4" w:space="0" w:color="000000"/>
              <w:left w:val="single" w:sz="4" w:space="0" w:color="000000"/>
              <w:bottom w:val="single" w:sz="4" w:space="0" w:color="000000"/>
              <w:right w:val="single" w:sz="4" w:space="0" w:color="000000"/>
            </w:tcBorders>
          </w:tcPr>
          <w:p w14:paraId="45107CD2" w14:textId="77777777" w:rsidR="004A3CD3" w:rsidRDefault="006C0598">
            <w:pPr>
              <w:spacing w:after="0" w:line="259" w:lineRule="auto"/>
              <w:ind w:left="0" w:right="49"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24915E81" w14:textId="77777777" w:rsidR="004A3CD3" w:rsidRDefault="006C0598">
            <w:pPr>
              <w:spacing w:after="0" w:line="259" w:lineRule="auto"/>
              <w:ind w:left="0" w:right="81" w:firstLine="0"/>
            </w:pPr>
            <w:r>
              <w:t xml:space="preserve">Joint policy statement of the Government of the Brussels-Capital Region and the College of the Joint Community Commission 2019-2024 </w:t>
            </w:r>
          </w:p>
        </w:tc>
      </w:tr>
      <w:tr w:rsidR="00E933CB" w14:paraId="1B0A77DF"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6574E33C" w14:textId="77777777" w:rsidR="004A3CD3" w:rsidRDefault="006C0598">
            <w:pPr>
              <w:spacing w:after="0" w:line="259" w:lineRule="auto"/>
              <w:ind w:left="7" w:right="0" w:firstLine="0"/>
              <w:jc w:val="left"/>
            </w:pPr>
            <w:r>
              <w:rPr>
                <w:rFonts w:ascii="Century Gothic" w:eastAsia="Century Gothic" w:hAnsi="Century Gothic" w:cs="Century Gothic"/>
                <w:b/>
                <w:sz w:val="20"/>
              </w:rPr>
              <w:t xml:space="preserve">F.23 </w:t>
            </w:r>
          </w:p>
        </w:tc>
        <w:tc>
          <w:tcPr>
            <w:tcW w:w="1277" w:type="dxa"/>
            <w:tcBorders>
              <w:top w:val="single" w:sz="4" w:space="0" w:color="000000"/>
              <w:left w:val="single" w:sz="4" w:space="0" w:color="000000"/>
              <w:bottom w:val="single" w:sz="4" w:space="0" w:color="000000"/>
              <w:right w:val="single" w:sz="4" w:space="0" w:color="000000"/>
            </w:tcBorders>
          </w:tcPr>
          <w:p w14:paraId="503E6B68" w14:textId="77777777" w:rsidR="004A3CD3" w:rsidRDefault="006C0598">
            <w:pPr>
              <w:spacing w:after="0" w:line="259" w:lineRule="auto"/>
              <w:ind w:left="0" w:right="49"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05AB633B" w14:textId="77777777" w:rsidR="004A3CD3" w:rsidRDefault="006C0598">
            <w:pPr>
              <w:spacing w:after="0" w:line="259" w:lineRule="auto"/>
              <w:ind w:left="0" w:right="0" w:firstLine="0"/>
              <w:jc w:val="left"/>
            </w:pPr>
            <w:r>
              <w:t xml:space="preserve">Flanders Regeerakkoord 2019-2024 </w:t>
            </w:r>
          </w:p>
        </w:tc>
      </w:tr>
      <w:tr w:rsidR="00E933CB" w14:paraId="1B9ABA24"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7BA56AA5" w14:textId="77777777" w:rsidR="004A3CD3" w:rsidRDefault="006C0598">
            <w:pPr>
              <w:spacing w:after="0" w:line="259" w:lineRule="auto"/>
              <w:ind w:left="7" w:right="0" w:firstLine="0"/>
              <w:jc w:val="left"/>
            </w:pPr>
            <w:r>
              <w:rPr>
                <w:rFonts w:ascii="Century Gothic" w:eastAsia="Century Gothic" w:hAnsi="Century Gothic" w:cs="Century Gothic"/>
                <w:b/>
                <w:sz w:val="20"/>
              </w:rPr>
              <w:t xml:space="preserve">F.24 </w:t>
            </w:r>
          </w:p>
        </w:tc>
        <w:tc>
          <w:tcPr>
            <w:tcW w:w="1277" w:type="dxa"/>
            <w:tcBorders>
              <w:top w:val="single" w:sz="4" w:space="0" w:color="000000"/>
              <w:left w:val="single" w:sz="4" w:space="0" w:color="000000"/>
              <w:bottom w:val="single" w:sz="4" w:space="0" w:color="000000"/>
              <w:right w:val="single" w:sz="4" w:space="0" w:color="000000"/>
            </w:tcBorders>
          </w:tcPr>
          <w:p w14:paraId="13F92478" w14:textId="77777777" w:rsidR="004A3CD3" w:rsidRDefault="006C0598">
            <w:pPr>
              <w:spacing w:after="0" w:line="259" w:lineRule="auto"/>
              <w:ind w:left="0" w:right="49"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57F8D20E" w14:textId="77777777" w:rsidR="004A3CD3" w:rsidRDefault="006C0598">
            <w:pPr>
              <w:spacing w:after="0" w:line="276" w:lineRule="auto"/>
              <w:ind w:left="0" w:right="0" w:firstLine="0"/>
            </w:pPr>
            <w:r>
              <w:t xml:space="preserve">Proposal of 19 December 2019 for a resolution to reposition Belgium in the climate debate, House of Representatives, </w:t>
            </w:r>
            <w:r>
              <w:rPr>
                <w:i/>
              </w:rPr>
              <w:t>Doc. Parl</w:t>
            </w:r>
            <w:r>
              <w:t xml:space="preserve">, Ord. sess. </w:t>
            </w:r>
          </w:p>
          <w:p w14:paraId="7F9F4158" w14:textId="77777777" w:rsidR="004A3CD3" w:rsidRDefault="006C0598">
            <w:pPr>
              <w:spacing w:after="0" w:line="259" w:lineRule="auto"/>
              <w:ind w:left="0" w:right="0" w:firstLine="0"/>
              <w:jc w:val="left"/>
            </w:pPr>
            <w:r>
              <w:t xml:space="preserve">2018-2019, no. 54 3416/006 </w:t>
            </w:r>
          </w:p>
        </w:tc>
      </w:tr>
      <w:tr w:rsidR="00E933CB" w14:paraId="3D792419"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19E3C395" w14:textId="77777777" w:rsidR="004A3CD3" w:rsidRDefault="006C0598">
            <w:pPr>
              <w:spacing w:after="0" w:line="259" w:lineRule="auto"/>
              <w:ind w:left="7" w:right="0" w:firstLine="0"/>
              <w:jc w:val="left"/>
            </w:pPr>
            <w:r>
              <w:rPr>
                <w:rFonts w:ascii="Century Gothic" w:eastAsia="Century Gothic" w:hAnsi="Century Gothic" w:cs="Century Gothic"/>
                <w:b/>
                <w:sz w:val="20"/>
              </w:rPr>
              <w:t xml:space="preserve">F.25 </w:t>
            </w:r>
          </w:p>
        </w:tc>
        <w:tc>
          <w:tcPr>
            <w:tcW w:w="1277" w:type="dxa"/>
            <w:tcBorders>
              <w:top w:val="single" w:sz="4" w:space="0" w:color="000000"/>
              <w:left w:val="single" w:sz="4" w:space="0" w:color="000000"/>
              <w:bottom w:val="single" w:sz="4" w:space="0" w:color="000000"/>
              <w:right w:val="single" w:sz="4" w:space="0" w:color="000000"/>
            </w:tcBorders>
          </w:tcPr>
          <w:p w14:paraId="51D2F010" w14:textId="77777777" w:rsidR="004A3CD3" w:rsidRDefault="006C0598">
            <w:pPr>
              <w:spacing w:after="0" w:line="259" w:lineRule="auto"/>
              <w:ind w:left="0" w:right="49"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245073D9" w14:textId="77777777" w:rsidR="004A3CD3" w:rsidRDefault="006C0598">
            <w:pPr>
              <w:spacing w:after="0" w:line="259" w:lineRule="auto"/>
              <w:ind w:left="0" w:right="0" w:firstLine="0"/>
              <w:jc w:val="left"/>
            </w:pPr>
            <w:r>
              <w:t xml:space="preserve">Walloon Policy Statement 2019-2024, 9 September 2019 </w:t>
            </w:r>
          </w:p>
        </w:tc>
      </w:tr>
    </w:tbl>
    <w:p w14:paraId="6B6AABDF" w14:textId="77777777" w:rsidR="00E933CB" w:rsidRDefault="00825B93">
      <w:pPr>
        <w:spacing w:after="98" w:line="259" w:lineRule="auto"/>
        <w:ind w:left="464" w:right="0" w:firstLine="0"/>
        <w:jc w:val="left"/>
      </w:pPr>
      <w:r>
        <w:t xml:space="preserve"> </w:t>
      </w:r>
    </w:p>
    <w:p w14:paraId="76506D37" w14:textId="77777777" w:rsidR="00E933CB" w:rsidRDefault="00825B93">
      <w:pPr>
        <w:spacing w:after="98" w:line="259" w:lineRule="auto"/>
        <w:ind w:left="464" w:right="0" w:firstLine="0"/>
        <w:jc w:val="left"/>
      </w:pPr>
      <w:r>
        <w:t xml:space="preserve"> </w:t>
      </w:r>
    </w:p>
    <w:p w14:paraId="067AC3B5" w14:textId="77777777" w:rsidR="00E933CB" w:rsidRDefault="00825B93">
      <w:pPr>
        <w:spacing w:after="0" w:line="259" w:lineRule="auto"/>
        <w:ind w:left="0" w:right="9117" w:firstLine="0"/>
        <w:jc w:val="right"/>
      </w:pPr>
      <w:r>
        <w:t xml:space="preserve"> </w:t>
      </w:r>
    </w:p>
    <w:tbl>
      <w:tblPr>
        <w:tblStyle w:val="TableGrid"/>
        <w:tblW w:w="9182" w:type="dxa"/>
        <w:tblInd w:w="468" w:type="dxa"/>
        <w:tblCellMar>
          <w:top w:w="48" w:type="dxa"/>
          <w:left w:w="108" w:type="dxa"/>
          <w:right w:w="59" w:type="dxa"/>
        </w:tblCellMar>
        <w:tblLook w:val="04A0" w:firstRow="1" w:lastRow="0" w:firstColumn="1" w:lastColumn="0" w:noHBand="0" w:noVBand="1"/>
      </w:tblPr>
      <w:tblGrid>
        <w:gridCol w:w="674"/>
        <w:gridCol w:w="1277"/>
        <w:gridCol w:w="7231"/>
      </w:tblGrid>
      <w:tr w:rsidR="00E933CB" w14:paraId="13321CB1" w14:textId="77777777">
        <w:trPr>
          <w:trHeight w:val="571"/>
        </w:trPr>
        <w:tc>
          <w:tcPr>
            <w:tcW w:w="674" w:type="dxa"/>
            <w:tcBorders>
              <w:top w:val="single" w:sz="4" w:space="0" w:color="000000"/>
              <w:left w:val="single" w:sz="4" w:space="0" w:color="000000"/>
              <w:bottom w:val="single" w:sz="4" w:space="0" w:color="000000"/>
              <w:right w:val="nil"/>
            </w:tcBorders>
          </w:tcPr>
          <w:p w14:paraId="2EB29972" w14:textId="77777777" w:rsidR="00E933CB" w:rsidRDefault="00E933CB">
            <w:pPr>
              <w:spacing w:after="160" w:line="259" w:lineRule="auto"/>
              <w:ind w:left="0" w:right="0" w:firstLine="0"/>
              <w:jc w:val="left"/>
            </w:pPr>
          </w:p>
        </w:tc>
        <w:tc>
          <w:tcPr>
            <w:tcW w:w="8507" w:type="dxa"/>
            <w:gridSpan w:val="2"/>
            <w:tcBorders>
              <w:top w:val="single" w:sz="4" w:space="0" w:color="000000"/>
              <w:left w:val="nil"/>
              <w:bottom w:val="single" w:sz="4" w:space="0" w:color="000000"/>
              <w:right w:val="single" w:sz="4" w:space="0" w:color="000000"/>
            </w:tcBorders>
          </w:tcPr>
          <w:p w14:paraId="14B58814" w14:textId="77777777" w:rsidR="004A3CD3" w:rsidRDefault="006C0598">
            <w:pPr>
              <w:spacing w:after="0" w:line="259" w:lineRule="auto"/>
              <w:ind w:left="442" w:right="0" w:firstLine="0"/>
              <w:jc w:val="left"/>
            </w:pPr>
            <w:r>
              <w:rPr>
                <w:b/>
                <w:sz w:val="40"/>
              </w:rPr>
              <w:t xml:space="preserve">G. </w:t>
            </w:r>
            <w:r>
              <w:rPr>
                <w:b/>
                <w:sz w:val="40"/>
                <w:u w:val="single" w:color="000000"/>
              </w:rPr>
              <w:t xml:space="preserve">European legal documentation </w:t>
            </w:r>
          </w:p>
        </w:tc>
      </w:tr>
      <w:tr w:rsidR="00E933CB" w14:paraId="28147569"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04837956" w14:textId="77777777" w:rsidR="00E933CB" w:rsidRDefault="00825B93">
            <w:pPr>
              <w:spacing w:after="0" w:line="259" w:lineRule="auto"/>
              <w:ind w:left="0" w:right="64"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2D29336" w14:textId="77777777" w:rsidR="004A3CD3" w:rsidRDefault="006C0598">
            <w:pPr>
              <w:spacing w:after="0" w:line="259" w:lineRule="auto"/>
              <w:ind w:left="0" w:right="0" w:firstLine="0"/>
              <w:jc w:val="left"/>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tcPr>
          <w:p w14:paraId="23665696" w14:textId="77777777" w:rsidR="004A3CD3" w:rsidRDefault="006C0598">
            <w:pPr>
              <w:spacing w:after="0" w:line="259" w:lineRule="auto"/>
              <w:ind w:left="0" w:right="0" w:firstLine="0"/>
              <w:jc w:val="left"/>
            </w:pPr>
            <w:r>
              <w:rPr>
                <w:b/>
              </w:rPr>
              <w:t xml:space="preserve">Description </w:t>
            </w:r>
          </w:p>
        </w:tc>
      </w:tr>
      <w:tr w:rsidR="00E933CB" w14:paraId="0E9B3CAA"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33E90A79" w14:textId="77777777" w:rsidR="004A3CD3" w:rsidRDefault="006C0598">
            <w:pPr>
              <w:spacing w:after="0" w:line="259" w:lineRule="auto"/>
              <w:ind w:left="29" w:right="0" w:firstLine="0"/>
              <w:jc w:val="left"/>
            </w:pPr>
            <w:r>
              <w:rPr>
                <w:rFonts w:ascii="Century Gothic" w:eastAsia="Century Gothic" w:hAnsi="Century Gothic" w:cs="Century Gothic"/>
                <w:b/>
                <w:sz w:val="20"/>
              </w:rPr>
              <w:t xml:space="preserve">G.1 </w:t>
            </w:r>
          </w:p>
        </w:tc>
        <w:tc>
          <w:tcPr>
            <w:tcW w:w="1277" w:type="dxa"/>
            <w:tcBorders>
              <w:top w:val="single" w:sz="4" w:space="0" w:color="000000"/>
              <w:left w:val="single" w:sz="4" w:space="0" w:color="000000"/>
              <w:bottom w:val="single" w:sz="4" w:space="0" w:color="000000"/>
              <w:right w:val="single" w:sz="4" w:space="0" w:color="000000"/>
            </w:tcBorders>
          </w:tcPr>
          <w:p w14:paraId="0E4388D2" w14:textId="77777777" w:rsidR="004A3CD3" w:rsidRDefault="006C0598">
            <w:pPr>
              <w:spacing w:after="0" w:line="259" w:lineRule="auto"/>
              <w:ind w:left="0" w:right="82" w:firstLine="0"/>
              <w:jc w:val="right"/>
            </w:pPr>
            <w:r>
              <w:t xml:space="preserve">1996 </w:t>
            </w:r>
          </w:p>
        </w:tc>
        <w:tc>
          <w:tcPr>
            <w:tcW w:w="7230" w:type="dxa"/>
            <w:tcBorders>
              <w:top w:val="single" w:sz="4" w:space="0" w:color="000000"/>
              <w:left w:val="single" w:sz="4" w:space="0" w:color="000000"/>
              <w:bottom w:val="single" w:sz="4" w:space="0" w:color="000000"/>
              <w:right w:val="single" w:sz="4" w:space="0" w:color="000000"/>
            </w:tcBorders>
            <w:vAlign w:val="center"/>
          </w:tcPr>
          <w:p w14:paraId="4FE490FE" w14:textId="77777777" w:rsidR="004A3CD3" w:rsidRDefault="006C0598">
            <w:pPr>
              <w:spacing w:after="0" w:line="259" w:lineRule="auto"/>
              <w:ind w:left="0" w:right="0" w:firstLine="0"/>
              <w:jc w:val="left"/>
            </w:pPr>
            <w:r>
              <w:t xml:space="preserve">European Commission, Press Release, "EU Climate Change Strategy - Council Conclusions", 1996 </w:t>
            </w:r>
          </w:p>
        </w:tc>
      </w:tr>
      <w:tr w:rsidR="00E933CB" w14:paraId="6CEFE5DD" w14:textId="77777777">
        <w:trPr>
          <w:trHeight w:val="1246"/>
        </w:trPr>
        <w:tc>
          <w:tcPr>
            <w:tcW w:w="674" w:type="dxa"/>
            <w:tcBorders>
              <w:top w:val="single" w:sz="4" w:space="0" w:color="000000"/>
              <w:left w:val="single" w:sz="4" w:space="0" w:color="000000"/>
              <w:bottom w:val="single" w:sz="4" w:space="0" w:color="000000"/>
              <w:right w:val="single" w:sz="4" w:space="0" w:color="000000"/>
            </w:tcBorders>
          </w:tcPr>
          <w:p w14:paraId="7472F7CF" w14:textId="77777777" w:rsidR="004A3CD3" w:rsidRDefault="006C0598">
            <w:pPr>
              <w:spacing w:after="0" w:line="259" w:lineRule="auto"/>
              <w:ind w:left="29" w:right="0" w:firstLine="0"/>
              <w:jc w:val="left"/>
            </w:pPr>
            <w:r>
              <w:rPr>
                <w:rFonts w:ascii="Century Gothic" w:eastAsia="Century Gothic" w:hAnsi="Century Gothic" w:cs="Century Gothic"/>
                <w:b/>
                <w:sz w:val="20"/>
              </w:rPr>
              <w:t xml:space="preserve">G.2 </w:t>
            </w:r>
          </w:p>
        </w:tc>
        <w:tc>
          <w:tcPr>
            <w:tcW w:w="1277" w:type="dxa"/>
            <w:tcBorders>
              <w:top w:val="single" w:sz="4" w:space="0" w:color="000000"/>
              <w:left w:val="single" w:sz="4" w:space="0" w:color="000000"/>
              <w:bottom w:val="single" w:sz="4" w:space="0" w:color="000000"/>
              <w:right w:val="single" w:sz="4" w:space="0" w:color="000000"/>
            </w:tcBorders>
          </w:tcPr>
          <w:p w14:paraId="7999A6EC" w14:textId="77777777" w:rsidR="004A3CD3" w:rsidRDefault="006C0598">
            <w:pPr>
              <w:spacing w:after="0" w:line="259" w:lineRule="auto"/>
              <w:ind w:left="0" w:right="82" w:firstLine="0"/>
              <w:jc w:val="right"/>
            </w:pPr>
            <w:r>
              <w:t xml:space="preserve">2007 </w:t>
            </w:r>
          </w:p>
        </w:tc>
        <w:tc>
          <w:tcPr>
            <w:tcW w:w="7230" w:type="dxa"/>
            <w:tcBorders>
              <w:top w:val="single" w:sz="4" w:space="0" w:color="000000"/>
              <w:left w:val="single" w:sz="4" w:space="0" w:color="000000"/>
              <w:bottom w:val="single" w:sz="4" w:space="0" w:color="000000"/>
              <w:right w:val="single" w:sz="4" w:space="0" w:color="000000"/>
            </w:tcBorders>
          </w:tcPr>
          <w:p w14:paraId="16A5AD23" w14:textId="77777777" w:rsidR="004A3CD3" w:rsidRDefault="006C0598">
            <w:pPr>
              <w:spacing w:after="0" w:line="259" w:lineRule="auto"/>
              <w:ind w:left="0" w:right="113" w:firstLine="0"/>
            </w:pPr>
            <w:r>
              <w:t xml:space="preserve">Communication from the Commission to the Council, the European Parliament, the European Economic and Social Committee and the Committee of the Regions, Limiting Global Climate Change to 2 degrees Celsius. The way ahead for 2020 and beyond, COM (2007) 2 final, Brussels, 10 January 2007 </w:t>
            </w:r>
          </w:p>
        </w:tc>
      </w:tr>
      <w:tr w:rsidR="00E933CB" w14:paraId="35B23BD9" w14:textId="77777777">
        <w:trPr>
          <w:trHeight w:val="1553"/>
        </w:trPr>
        <w:tc>
          <w:tcPr>
            <w:tcW w:w="674" w:type="dxa"/>
            <w:tcBorders>
              <w:top w:val="single" w:sz="4" w:space="0" w:color="000000"/>
              <w:left w:val="single" w:sz="4" w:space="0" w:color="000000"/>
              <w:bottom w:val="single" w:sz="4" w:space="0" w:color="000000"/>
              <w:right w:val="single" w:sz="4" w:space="0" w:color="000000"/>
            </w:tcBorders>
          </w:tcPr>
          <w:p w14:paraId="4A523A6F" w14:textId="77777777" w:rsidR="004A3CD3" w:rsidRDefault="006C0598">
            <w:pPr>
              <w:spacing w:after="0" w:line="259" w:lineRule="auto"/>
              <w:ind w:left="29" w:right="0" w:firstLine="0"/>
              <w:jc w:val="left"/>
            </w:pPr>
            <w:r>
              <w:rPr>
                <w:rFonts w:ascii="Century Gothic" w:eastAsia="Century Gothic" w:hAnsi="Century Gothic" w:cs="Century Gothic"/>
                <w:b/>
                <w:sz w:val="20"/>
              </w:rPr>
              <w:t xml:space="preserve">G.3 </w:t>
            </w:r>
          </w:p>
        </w:tc>
        <w:tc>
          <w:tcPr>
            <w:tcW w:w="1277" w:type="dxa"/>
            <w:tcBorders>
              <w:top w:val="single" w:sz="4" w:space="0" w:color="000000"/>
              <w:left w:val="single" w:sz="4" w:space="0" w:color="000000"/>
              <w:bottom w:val="single" w:sz="4" w:space="0" w:color="000000"/>
              <w:right w:val="single" w:sz="4" w:space="0" w:color="000000"/>
            </w:tcBorders>
          </w:tcPr>
          <w:p w14:paraId="4F988492" w14:textId="77777777" w:rsidR="004A3CD3" w:rsidRDefault="006C0598">
            <w:pPr>
              <w:spacing w:after="0" w:line="259" w:lineRule="auto"/>
              <w:ind w:left="0" w:right="82" w:firstLine="0"/>
              <w:jc w:val="right"/>
            </w:pPr>
            <w:r>
              <w:t xml:space="preserve">2007 </w:t>
            </w:r>
          </w:p>
        </w:tc>
        <w:tc>
          <w:tcPr>
            <w:tcW w:w="7230" w:type="dxa"/>
            <w:tcBorders>
              <w:top w:val="single" w:sz="4" w:space="0" w:color="000000"/>
              <w:left w:val="single" w:sz="4" w:space="0" w:color="000000"/>
              <w:bottom w:val="single" w:sz="4" w:space="0" w:color="000000"/>
              <w:right w:val="single" w:sz="4" w:space="0" w:color="000000"/>
            </w:tcBorders>
          </w:tcPr>
          <w:p w14:paraId="2922C37C" w14:textId="77777777" w:rsidR="004A3CD3" w:rsidRDefault="006C0598">
            <w:pPr>
              <w:spacing w:after="0" w:line="259" w:lineRule="auto"/>
              <w:ind w:left="0" w:right="112" w:firstLine="0"/>
            </w:pPr>
            <w:r>
              <w:t xml:space="preserve">European Commission, </w:t>
            </w:r>
            <w:r>
              <w:rPr>
                <w:i/>
              </w:rPr>
              <w:t>Green Paper presented by the Commission to the Council, the European Parliament, the European Economic and Social Committee and the Committee of the Regions. Adapting to climate change in Europe: options for EU action</w:t>
            </w:r>
            <w:r>
              <w:t>, Brussels, 29 June 2007, COM(2007) 354 final, cited as '</w:t>
            </w:r>
            <w:r>
              <w:rPr>
                <w:u w:val="single" w:color="000000"/>
              </w:rPr>
              <w:t xml:space="preserve">EC, Green Paper Climate 2007 </w:t>
            </w:r>
          </w:p>
        </w:tc>
      </w:tr>
      <w:tr w:rsidR="00E933CB" w14:paraId="3C821670"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11AEB878" w14:textId="77777777" w:rsidR="004A3CD3" w:rsidRDefault="006C0598">
            <w:pPr>
              <w:spacing w:after="0" w:line="259" w:lineRule="auto"/>
              <w:ind w:left="29" w:right="0" w:firstLine="0"/>
              <w:jc w:val="left"/>
            </w:pPr>
            <w:r>
              <w:rPr>
                <w:rFonts w:ascii="Century Gothic" w:eastAsia="Century Gothic" w:hAnsi="Century Gothic" w:cs="Century Gothic"/>
                <w:b/>
                <w:sz w:val="20"/>
              </w:rPr>
              <w:t xml:space="preserve">G.4 </w:t>
            </w:r>
          </w:p>
        </w:tc>
        <w:tc>
          <w:tcPr>
            <w:tcW w:w="1277" w:type="dxa"/>
            <w:tcBorders>
              <w:top w:val="single" w:sz="4" w:space="0" w:color="000000"/>
              <w:left w:val="single" w:sz="4" w:space="0" w:color="000000"/>
              <w:bottom w:val="single" w:sz="4" w:space="0" w:color="000000"/>
              <w:right w:val="single" w:sz="4" w:space="0" w:color="000000"/>
            </w:tcBorders>
          </w:tcPr>
          <w:p w14:paraId="76E795C1" w14:textId="77777777" w:rsidR="004A3CD3" w:rsidRDefault="006C0598">
            <w:pPr>
              <w:spacing w:after="0" w:line="259" w:lineRule="auto"/>
              <w:ind w:left="0" w:right="82" w:firstLine="0"/>
              <w:jc w:val="right"/>
            </w:pPr>
            <w:r>
              <w:t xml:space="preserve">2008 </w:t>
            </w:r>
          </w:p>
        </w:tc>
        <w:tc>
          <w:tcPr>
            <w:tcW w:w="7230" w:type="dxa"/>
            <w:tcBorders>
              <w:top w:val="single" w:sz="4" w:space="0" w:color="000000"/>
              <w:left w:val="single" w:sz="4" w:space="0" w:color="000000"/>
              <w:bottom w:val="single" w:sz="4" w:space="0" w:color="000000"/>
              <w:right w:val="single" w:sz="4" w:space="0" w:color="000000"/>
            </w:tcBorders>
          </w:tcPr>
          <w:p w14:paraId="2D68F5DD" w14:textId="77777777" w:rsidR="004A3CD3" w:rsidRDefault="006C0598">
            <w:pPr>
              <w:spacing w:after="16" w:line="259" w:lineRule="auto"/>
              <w:ind w:left="0" w:right="0" w:firstLine="0"/>
              <w:jc w:val="left"/>
            </w:pPr>
            <w:r>
              <w:t xml:space="preserve">European Parliament, Resolution of 31 January 2008 on the assessment of the </w:t>
            </w:r>
          </w:p>
          <w:p w14:paraId="2EACF6BA" w14:textId="77777777" w:rsidR="004A3CD3" w:rsidRDefault="006C0598">
            <w:pPr>
              <w:spacing w:after="0" w:line="259" w:lineRule="auto"/>
              <w:ind w:left="0" w:right="0" w:firstLine="0"/>
              <w:jc w:val="left"/>
            </w:pPr>
            <w:r>
              <w:t xml:space="preserve">Bali Climate Change Conference </w:t>
            </w:r>
          </w:p>
        </w:tc>
      </w:tr>
      <w:tr w:rsidR="00E933CB" w14:paraId="0169BAA1" w14:textId="77777777">
        <w:trPr>
          <w:trHeight w:val="1246"/>
        </w:trPr>
        <w:tc>
          <w:tcPr>
            <w:tcW w:w="674" w:type="dxa"/>
            <w:tcBorders>
              <w:top w:val="single" w:sz="4" w:space="0" w:color="000000"/>
              <w:left w:val="single" w:sz="4" w:space="0" w:color="000000"/>
              <w:bottom w:val="single" w:sz="4" w:space="0" w:color="000000"/>
              <w:right w:val="single" w:sz="4" w:space="0" w:color="000000"/>
            </w:tcBorders>
          </w:tcPr>
          <w:p w14:paraId="65A38A7F" w14:textId="77777777" w:rsidR="004A3CD3" w:rsidRDefault="006C0598">
            <w:pPr>
              <w:spacing w:after="0" w:line="259" w:lineRule="auto"/>
              <w:ind w:left="29" w:right="0" w:firstLine="0"/>
              <w:jc w:val="left"/>
            </w:pPr>
            <w:r>
              <w:rPr>
                <w:rFonts w:ascii="Century Gothic" w:eastAsia="Century Gothic" w:hAnsi="Century Gothic" w:cs="Century Gothic"/>
                <w:b/>
                <w:sz w:val="20"/>
              </w:rPr>
              <w:t xml:space="preserve">G.5 </w:t>
            </w:r>
          </w:p>
        </w:tc>
        <w:tc>
          <w:tcPr>
            <w:tcW w:w="1277" w:type="dxa"/>
            <w:tcBorders>
              <w:top w:val="single" w:sz="4" w:space="0" w:color="000000"/>
              <w:left w:val="single" w:sz="4" w:space="0" w:color="000000"/>
              <w:bottom w:val="single" w:sz="4" w:space="0" w:color="000000"/>
              <w:right w:val="single" w:sz="4" w:space="0" w:color="000000"/>
            </w:tcBorders>
          </w:tcPr>
          <w:p w14:paraId="4E0512BC" w14:textId="77777777" w:rsidR="004A3CD3" w:rsidRDefault="006C0598">
            <w:pPr>
              <w:spacing w:after="0" w:line="259" w:lineRule="auto"/>
              <w:ind w:left="0" w:right="82" w:firstLine="0"/>
              <w:jc w:val="right"/>
            </w:pPr>
            <w:r>
              <w:t xml:space="preserve">2008 </w:t>
            </w:r>
          </w:p>
        </w:tc>
        <w:tc>
          <w:tcPr>
            <w:tcW w:w="7230" w:type="dxa"/>
            <w:tcBorders>
              <w:top w:val="single" w:sz="4" w:space="0" w:color="000000"/>
              <w:left w:val="single" w:sz="4" w:space="0" w:color="000000"/>
              <w:bottom w:val="single" w:sz="4" w:space="0" w:color="000000"/>
              <w:right w:val="single" w:sz="4" w:space="0" w:color="000000"/>
            </w:tcBorders>
          </w:tcPr>
          <w:p w14:paraId="33ACA604" w14:textId="77777777" w:rsidR="004A3CD3" w:rsidRDefault="006C0598">
            <w:pPr>
              <w:spacing w:after="0" w:line="259" w:lineRule="auto"/>
              <w:ind w:left="0" w:right="112" w:firstLine="0"/>
            </w:pPr>
            <w:r>
              <w:t xml:space="preserve">European Economic and Social Committee, Opinion on the Proposal for a Directive of the European Parliament and of the Council amending Directive 2003/87/EC so as to improve and extend the greenhouse gas emission allowance trading system of the Community, July 2008 </w:t>
            </w:r>
          </w:p>
        </w:tc>
      </w:tr>
      <w:tr w:rsidR="00E933CB" w14:paraId="5F1D364D" w14:textId="77777777">
        <w:trPr>
          <w:trHeight w:val="1056"/>
        </w:trPr>
        <w:tc>
          <w:tcPr>
            <w:tcW w:w="674" w:type="dxa"/>
            <w:tcBorders>
              <w:top w:val="single" w:sz="4" w:space="0" w:color="000000"/>
              <w:left w:val="single" w:sz="4" w:space="0" w:color="000000"/>
              <w:bottom w:val="single" w:sz="4" w:space="0" w:color="000000"/>
              <w:right w:val="single" w:sz="4" w:space="0" w:color="000000"/>
            </w:tcBorders>
          </w:tcPr>
          <w:p w14:paraId="5029576D" w14:textId="77777777" w:rsidR="004A3CD3" w:rsidRDefault="006C0598">
            <w:pPr>
              <w:spacing w:after="0" w:line="259" w:lineRule="auto"/>
              <w:ind w:left="29" w:right="0" w:firstLine="0"/>
              <w:jc w:val="left"/>
            </w:pPr>
            <w:r>
              <w:rPr>
                <w:rFonts w:ascii="Century Gothic" w:eastAsia="Century Gothic" w:hAnsi="Century Gothic" w:cs="Century Gothic"/>
                <w:b/>
                <w:sz w:val="20"/>
              </w:rPr>
              <w:t xml:space="preserve">G.6 </w:t>
            </w:r>
          </w:p>
        </w:tc>
        <w:tc>
          <w:tcPr>
            <w:tcW w:w="1277" w:type="dxa"/>
            <w:tcBorders>
              <w:top w:val="single" w:sz="4" w:space="0" w:color="000000"/>
              <w:left w:val="single" w:sz="4" w:space="0" w:color="000000"/>
              <w:bottom w:val="single" w:sz="4" w:space="0" w:color="000000"/>
              <w:right w:val="single" w:sz="4" w:space="0" w:color="000000"/>
            </w:tcBorders>
          </w:tcPr>
          <w:p w14:paraId="5D0BDF7E" w14:textId="77777777" w:rsidR="004A3CD3" w:rsidRDefault="006C0598">
            <w:pPr>
              <w:spacing w:after="0" w:line="259" w:lineRule="auto"/>
              <w:ind w:left="0" w:right="82"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vAlign w:val="center"/>
          </w:tcPr>
          <w:p w14:paraId="2B89C37C" w14:textId="77777777" w:rsidR="004A3CD3" w:rsidRDefault="006C0598">
            <w:pPr>
              <w:spacing w:after="0" w:line="259" w:lineRule="auto"/>
              <w:ind w:left="0" w:right="48" w:firstLine="0"/>
            </w:pPr>
            <w:r>
              <w:t xml:space="preserve">Decision No 406/2009/EC of the European Parliament and of the Council of 23 April 2009 on the effort of Member States to reduce their greenhouse gas emissions ("ESD": "Effort Sharing Decision") </w:t>
            </w:r>
          </w:p>
        </w:tc>
      </w:tr>
      <w:tr w:rsidR="00E933CB" w14:paraId="29426982" w14:textId="77777777">
        <w:trPr>
          <w:trHeight w:val="1246"/>
        </w:trPr>
        <w:tc>
          <w:tcPr>
            <w:tcW w:w="674" w:type="dxa"/>
            <w:tcBorders>
              <w:top w:val="single" w:sz="4" w:space="0" w:color="000000"/>
              <w:left w:val="single" w:sz="4" w:space="0" w:color="000000"/>
              <w:bottom w:val="single" w:sz="4" w:space="0" w:color="000000"/>
              <w:right w:val="single" w:sz="4" w:space="0" w:color="000000"/>
            </w:tcBorders>
          </w:tcPr>
          <w:p w14:paraId="7EB90208" w14:textId="77777777" w:rsidR="004A3CD3" w:rsidRDefault="006C0598">
            <w:pPr>
              <w:spacing w:after="0" w:line="259" w:lineRule="auto"/>
              <w:ind w:left="29" w:right="0" w:firstLine="0"/>
              <w:jc w:val="left"/>
            </w:pPr>
            <w:r>
              <w:rPr>
                <w:rFonts w:ascii="Century Gothic" w:eastAsia="Century Gothic" w:hAnsi="Century Gothic" w:cs="Century Gothic"/>
                <w:b/>
                <w:sz w:val="20"/>
              </w:rPr>
              <w:t xml:space="preserve">G.7 </w:t>
            </w:r>
          </w:p>
        </w:tc>
        <w:tc>
          <w:tcPr>
            <w:tcW w:w="1277" w:type="dxa"/>
            <w:tcBorders>
              <w:top w:val="single" w:sz="4" w:space="0" w:color="000000"/>
              <w:left w:val="single" w:sz="4" w:space="0" w:color="000000"/>
              <w:bottom w:val="single" w:sz="4" w:space="0" w:color="000000"/>
              <w:right w:val="single" w:sz="4" w:space="0" w:color="000000"/>
            </w:tcBorders>
          </w:tcPr>
          <w:p w14:paraId="1A8FF9D9" w14:textId="77777777" w:rsidR="004A3CD3" w:rsidRDefault="006C0598">
            <w:pPr>
              <w:spacing w:after="0" w:line="259" w:lineRule="auto"/>
              <w:ind w:left="0" w:right="82"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2070C6EF" w14:textId="77777777" w:rsidR="004A3CD3" w:rsidRDefault="006C0598">
            <w:pPr>
              <w:spacing w:after="1" w:line="275" w:lineRule="auto"/>
              <w:ind w:left="0" w:right="114" w:firstLine="0"/>
            </w:pPr>
            <w:r>
              <w:t xml:space="preserve">European Parliament, Resolution of 4 February 2009 on "2050: The future begins today - recommendations for a future integrated EU climate change policy </w:t>
            </w:r>
          </w:p>
          <w:p w14:paraId="218C9525" w14:textId="77777777" w:rsidR="004A3CD3" w:rsidRDefault="006C0598">
            <w:pPr>
              <w:spacing w:after="0" w:line="259" w:lineRule="auto"/>
              <w:ind w:left="0" w:right="0" w:firstLine="0"/>
              <w:jc w:val="left"/>
            </w:pPr>
            <w:r>
              <w:t xml:space="preserve">(2008/2105(INI)) </w:t>
            </w:r>
          </w:p>
        </w:tc>
      </w:tr>
      <w:tr w:rsidR="00E933CB" w14:paraId="4C61337A"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73D67B7D" w14:textId="77777777" w:rsidR="004A3CD3" w:rsidRDefault="006C0598">
            <w:pPr>
              <w:spacing w:after="0" w:line="259" w:lineRule="auto"/>
              <w:ind w:left="29" w:right="0" w:firstLine="0"/>
              <w:jc w:val="left"/>
            </w:pPr>
            <w:r>
              <w:rPr>
                <w:rFonts w:ascii="Century Gothic" w:eastAsia="Century Gothic" w:hAnsi="Century Gothic" w:cs="Century Gothic"/>
                <w:b/>
                <w:sz w:val="20"/>
              </w:rPr>
              <w:lastRenderedPageBreak/>
              <w:t xml:space="preserve">G.8 </w:t>
            </w:r>
          </w:p>
        </w:tc>
        <w:tc>
          <w:tcPr>
            <w:tcW w:w="1277" w:type="dxa"/>
            <w:tcBorders>
              <w:top w:val="single" w:sz="4" w:space="0" w:color="000000"/>
              <w:left w:val="single" w:sz="4" w:space="0" w:color="000000"/>
              <w:bottom w:val="single" w:sz="4" w:space="0" w:color="000000"/>
              <w:right w:val="single" w:sz="4" w:space="0" w:color="000000"/>
            </w:tcBorders>
          </w:tcPr>
          <w:p w14:paraId="064C4D65" w14:textId="77777777" w:rsidR="004A3CD3" w:rsidRDefault="006C0598">
            <w:pPr>
              <w:spacing w:after="0" w:line="259" w:lineRule="auto"/>
              <w:ind w:left="0" w:right="82"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3841CD38" w14:textId="77777777" w:rsidR="004A3CD3" w:rsidRDefault="006C0598">
            <w:pPr>
              <w:spacing w:after="20" w:line="259" w:lineRule="auto"/>
              <w:ind w:left="0" w:right="0" w:firstLine="0"/>
              <w:jc w:val="left"/>
            </w:pPr>
            <w:r>
              <w:t xml:space="preserve">European Commission, White Paper on Adaptation to Climate Change: </w:t>
            </w:r>
          </w:p>
          <w:p w14:paraId="4F6AB9A8" w14:textId="77777777" w:rsidR="004A3CD3" w:rsidRDefault="006C0598">
            <w:pPr>
              <w:spacing w:after="0" w:line="259" w:lineRule="auto"/>
              <w:ind w:left="0" w:right="0" w:firstLine="0"/>
              <w:jc w:val="left"/>
            </w:pPr>
            <w:r>
              <w:t xml:space="preserve">towards a European framework for action, 1 </w:t>
            </w:r>
            <w:r>
              <w:rPr>
                <w:vertAlign w:val="superscript"/>
              </w:rPr>
              <w:t>er</w:t>
            </w:r>
            <w:r>
              <w:t xml:space="preserve">April 2009 </w:t>
            </w:r>
          </w:p>
        </w:tc>
      </w:tr>
    </w:tbl>
    <w:p w14:paraId="4800BA2B" w14:textId="77777777" w:rsidR="00E933CB" w:rsidRDefault="00E933CB">
      <w:pPr>
        <w:spacing w:after="0" w:line="259" w:lineRule="auto"/>
        <w:ind w:left="-1097" w:right="547" w:firstLine="0"/>
        <w:jc w:val="left"/>
      </w:pPr>
    </w:p>
    <w:tbl>
      <w:tblPr>
        <w:tblStyle w:val="TableGrid"/>
        <w:tblW w:w="9182" w:type="dxa"/>
        <w:tblInd w:w="468" w:type="dxa"/>
        <w:tblCellMar>
          <w:top w:w="48" w:type="dxa"/>
          <w:left w:w="108" w:type="dxa"/>
          <w:right w:w="68" w:type="dxa"/>
        </w:tblCellMar>
        <w:tblLook w:val="04A0" w:firstRow="1" w:lastRow="0" w:firstColumn="1" w:lastColumn="0" w:noHBand="0" w:noVBand="1"/>
      </w:tblPr>
      <w:tblGrid>
        <w:gridCol w:w="674"/>
        <w:gridCol w:w="1277"/>
        <w:gridCol w:w="7231"/>
      </w:tblGrid>
      <w:tr w:rsidR="00E933CB" w14:paraId="1F2CE0EF" w14:textId="77777777">
        <w:trPr>
          <w:trHeight w:val="320"/>
        </w:trPr>
        <w:tc>
          <w:tcPr>
            <w:tcW w:w="674" w:type="dxa"/>
            <w:tcBorders>
              <w:top w:val="single" w:sz="4" w:space="0" w:color="000000"/>
              <w:left w:val="single" w:sz="4" w:space="0" w:color="000000"/>
              <w:bottom w:val="single" w:sz="4" w:space="0" w:color="000000"/>
              <w:right w:val="single" w:sz="4" w:space="0" w:color="000000"/>
            </w:tcBorders>
          </w:tcPr>
          <w:p w14:paraId="5EF2DE35" w14:textId="77777777" w:rsidR="004A3CD3" w:rsidRDefault="006C0598">
            <w:pPr>
              <w:spacing w:after="0" w:line="259" w:lineRule="auto"/>
              <w:ind w:left="29" w:right="0" w:firstLine="0"/>
              <w:jc w:val="left"/>
            </w:pPr>
            <w:r>
              <w:rPr>
                <w:rFonts w:ascii="Century Gothic" w:eastAsia="Century Gothic" w:hAnsi="Century Gothic" w:cs="Century Gothic"/>
                <w:b/>
                <w:sz w:val="20"/>
              </w:rPr>
              <w:t xml:space="preserve">G.9 </w:t>
            </w:r>
          </w:p>
        </w:tc>
        <w:tc>
          <w:tcPr>
            <w:tcW w:w="1277" w:type="dxa"/>
            <w:tcBorders>
              <w:top w:val="single" w:sz="4" w:space="0" w:color="000000"/>
              <w:left w:val="single" w:sz="4" w:space="0" w:color="000000"/>
              <w:bottom w:val="single" w:sz="4" w:space="0" w:color="000000"/>
              <w:right w:val="single" w:sz="4" w:space="0" w:color="000000"/>
            </w:tcBorders>
          </w:tcPr>
          <w:p w14:paraId="2643883F" w14:textId="77777777" w:rsidR="004A3CD3" w:rsidRDefault="006C0598">
            <w:pPr>
              <w:spacing w:after="0" w:line="259" w:lineRule="auto"/>
              <w:ind w:left="0" w:right="73"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07CEAF6F" w14:textId="77777777" w:rsidR="004A3CD3" w:rsidRDefault="006C0598">
            <w:pPr>
              <w:spacing w:after="0" w:line="259" w:lineRule="auto"/>
              <w:ind w:left="0" w:right="0" w:firstLine="0"/>
              <w:jc w:val="left"/>
            </w:pPr>
            <w:r>
              <w:t xml:space="preserve">Directive 2009/28/EC </w:t>
            </w:r>
          </w:p>
        </w:tc>
      </w:tr>
      <w:tr w:rsidR="00E933CB" w14:paraId="25D08365" w14:textId="77777777">
        <w:trPr>
          <w:trHeight w:val="1555"/>
        </w:trPr>
        <w:tc>
          <w:tcPr>
            <w:tcW w:w="674" w:type="dxa"/>
            <w:tcBorders>
              <w:top w:val="single" w:sz="4" w:space="0" w:color="000000"/>
              <w:left w:val="single" w:sz="4" w:space="0" w:color="000000"/>
              <w:bottom w:val="single" w:sz="4" w:space="0" w:color="000000"/>
              <w:right w:val="single" w:sz="4" w:space="0" w:color="000000"/>
            </w:tcBorders>
          </w:tcPr>
          <w:p w14:paraId="17BDFFBA"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G.10 </w:t>
            </w:r>
          </w:p>
        </w:tc>
        <w:tc>
          <w:tcPr>
            <w:tcW w:w="1277" w:type="dxa"/>
            <w:tcBorders>
              <w:top w:val="single" w:sz="4" w:space="0" w:color="000000"/>
              <w:left w:val="single" w:sz="4" w:space="0" w:color="000000"/>
              <w:bottom w:val="single" w:sz="4" w:space="0" w:color="000000"/>
              <w:right w:val="single" w:sz="4" w:space="0" w:color="000000"/>
            </w:tcBorders>
          </w:tcPr>
          <w:p w14:paraId="6F08404F" w14:textId="77777777" w:rsidR="004A3CD3" w:rsidRDefault="006C0598">
            <w:pPr>
              <w:spacing w:after="0" w:line="259" w:lineRule="auto"/>
              <w:ind w:left="0" w:right="73" w:firstLine="0"/>
              <w:jc w:val="right"/>
            </w:pPr>
            <w:r>
              <w:t xml:space="preserve">2010 </w:t>
            </w:r>
          </w:p>
        </w:tc>
        <w:tc>
          <w:tcPr>
            <w:tcW w:w="7230" w:type="dxa"/>
            <w:tcBorders>
              <w:top w:val="single" w:sz="4" w:space="0" w:color="000000"/>
              <w:left w:val="single" w:sz="4" w:space="0" w:color="000000"/>
              <w:bottom w:val="single" w:sz="4" w:space="0" w:color="000000"/>
              <w:right w:val="single" w:sz="4" w:space="0" w:color="000000"/>
            </w:tcBorders>
          </w:tcPr>
          <w:p w14:paraId="2A980A51" w14:textId="77777777" w:rsidR="004A3CD3" w:rsidRDefault="006C0598">
            <w:pPr>
              <w:spacing w:after="0" w:line="259" w:lineRule="auto"/>
              <w:ind w:left="0" w:right="105" w:firstLine="0"/>
            </w:pPr>
            <w:r>
              <w:t xml:space="preserve">Communication from the Commission to the Parliament, the Council, the European Economic and Social Committee and the Committee of the Regions, Analysis of options for moving beyond the 20% greenhouse gas reduction target and assessment of the risk of carbon leakage, No. Com(2010) 265, 26 May 2010 </w:t>
            </w:r>
          </w:p>
        </w:tc>
      </w:tr>
      <w:tr w:rsidR="00E933CB" w14:paraId="64141DC3"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4B4D757C"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G.11 </w:t>
            </w:r>
          </w:p>
        </w:tc>
        <w:tc>
          <w:tcPr>
            <w:tcW w:w="1277" w:type="dxa"/>
            <w:tcBorders>
              <w:top w:val="single" w:sz="4" w:space="0" w:color="000000"/>
              <w:left w:val="single" w:sz="4" w:space="0" w:color="000000"/>
              <w:bottom w:val="single" w:sz="4" w:space="0" w:color="000000"/>
              <w:right w:val="single" w:sz="4" w:space="0" w:color="000000"/>
            </w:tcBorders>
          </w:tcPr>
          <w:p w14:paraId="75A0EDEF" w14:textId="77777777" w:rsidR="004A3CD3" w:rsidRDefault="006C0598">
            <w:pPr>
              <w:spacing w:after="0" w:line="259" w:lineRule="auto"/>
              <w:ind w:left="0" w:right="73" w:firstLine="0"/>
              <w:jc w:val="right"/>
            </w:pPr>
            <w:r>
              <w:t xml:space="preserve">2011 </w:t>
            </w:r>
          </w:p>
        </w:tc>
        <w:tc>
          <w:tcPr>
            <w:tcW w:w="7230" w:type="dxa"/>
            <w:tcBorders>
              <w:top w:val="single" w:sz="4" w:space="0" w:color="000000"/>
              <w:left w:val="single" w:sz="4" w:space="0" w:color="000000"/>
              <w:bottom w:val="single" w:sz="4" w:space="0" w:color="000000"/>
              <w:right w:val="single" w:sz="4" w:space="0" w:color="000000"/>
            </w:tcBorders>
          </w:tcPr>
          <w:p w14:paraId="39D4EC80" w14:textId="77777777" w:rsidR="004A3CD3" w:rsidRDefault="006C0598">
            <w:pPr>
              <w:spacing w:after="16" w:line="259" w:lineRule="auto"/>
              <w:ind w:left="0" w:right="0" w:firstLine="0"/>
              <w:jc w:val="left"/>
            </w:pPr>
            <w:r>
              <w:t xml:space="preserve">European Commission, Communication from the European Commission, </w:t>
            </w:r>
          </w:p>
          <w:p w14:paraId="3881BBF3" w14:textId="77777777" w:rsidR="004A3CD3" w:rsidRDefault="006C0598">
            <w:pPr>
              <w:spacing w:after="0" w:line="259" w:lineRule="auto"/>
              <w:ind w:left="0" w:right="0" w:firstLine="0"/>
              <w:jc w:val="left"/>
            </w:pPr>
            <w:r>
              <w:t xml:space="preserve">2011 Report for Belgium, 7 June 2011, SEC(2011) 710 final </w:t>
            </w:r>
          </w:p>
        </w:tc>
      </w:tr>
      <w:tr w:rsidR="00E933CB" w14:paraId="1C24D398" w14:textId="77777777">
        <w:trPr>
          <w:trHeight w:val="1246"/>
        </w:trPr>
        <w:tc>
          <w:tcPr>
            <w:tcW w:w="674" w:type="dxa"/>
            <w:tcBorders>
              <w:top w:val="single" w:sz="4" w:space="0" w:color="000000"/>
              <w:left w:val="single" w:sz="4" w:space="0" w:color="000000"/>
              <w:bottom w:val="single" w:sz="4" w:space="0" w:color="000000"/>
              <w:right w:val="single" w:sz="4" w:space="0" w:color="000000"/>
            </w:tcBorders>
          </w:tcPr>
          <w:p w14:paraId="72C69C6D"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G.12 </w:t>
            </w:r>
          </w:p>
        </w:tc>
        <w:tc>
          <w:tcPr>
            <w:tcW w:w="1277" w:type="dxa"/>
            <w:tcBorders>
              <w:top w:val="single" w:sz="4" w:space="0" w:color="000000"/>
              <w:left w:val="single" w:sz="4" w:space="0" w:color="000000"/>
              <w:bottom w:val="single" w:sz="4" w:space="0" w:color="000000"/>
              <w:right w:val="single" w:sz="4" w:space="0" w:color="000000"/>
            </w:tcBorders>
          </w:tcPr>
          <w:p w14:paraId="486BF297" w14:textId="77777777" w:rsidR="004A3CD3" w:rsidRDefault="006C0598">
            <w:pPr>
              <w:spacing w:after="0" w:line="259" w:lineRule="auto"/>
              <w:ind w:left="0" w:right="73" w:firstLine="0"/>
              <w:jc w:val="right"/>
            </w:pPr>
            <w:r>
              <w:t xml:space="preserve">2011 </w:t>
            </w:r>
          </w:p>
        </w:tc>
        <w:tc>
          <w:tcPr>
            <w:tcW w:w="7230" w:type="dxa"/>
            <w:tcBorders>
              <w:top w:val="single" w:sz="4" w:space="0" w:color="000000"/>
              <w:left w:val="single" w:sz="4" w:space="0" w:color="000000"/>
              <w:bottom w:val="single" w:sz="4" w:space="0" w:color="000000"/>
              <w:right w:val="single" w:sz="4" w:space="0" w:color="000000"/>
            </w:tcBorders>
          </w:tcPr>
          <w:p w14:paraId="70466165" w14:textId="77777777" w:rsidR="004A3CD3" w:rsidRDefault="006C0598">
            <w:pPr>
              <w:spacing w:after="0" w:line="276" w:lineRule="auto"/>
              <w:ind w:left="0" w:right="104" w:firstLine="0"/>
            </w:pPr>
            <w:r>
              <w:t xml:space="preserve">Communication from the Commission to the European Parliament, the Council, the European Economic and Social Committee and the Committee of the Regions, Roadmap to a competitive low carbon economy by 2010 </w:t>
            </w:r>
          </w:p>
          <w:p w14:paraId="57135806" w14:textId="77777777" w:rsidR="004A3CD3" w:rsidRDefault="006C0598">
            <w:pPr>
              <w:spacing w:after="0" w:line="259" w:lineRule="auto"/>
              <w:ind w:left="0" w:right="0" w:firstLine="0"/>
              <w:jc w:val="left"/>
            </w:pPr>
            <w:r>
              <w:t xml:space="preserve">2050, COM (2011) 112 final, Brussels, 8 March 2011 </w:t>
            </w:r>
          </w:p>
        </w:tc>
      </w:tr>
      <w:tr w:rsidR="00E933CB" w14:paraId="62AE2592" w14:textId="77777777">
        <w:trPr>
          <w:trHeight w:val="1246"/>
        </w:trPr>
        <w:tc>
          <w:tcPr>
            <w:tcW w:w="674" w:type="dxa"/>
            <w:tcBorders>
              <w:top w:val="single" w:sz="4" w:space="0" w:color="000000"/>
              <w:left w:val="single" w:sz="4" w:space="0" w:color="000000"/>
              <w:bottom w:val="single" w:sz="4" w:space="0" w:color="000000"/>
              <w:right w:val="single" w:sz="4" w:space="0" w:color="000000"/>
            </w:tcBorders>
          </w:tcPr>
          <w:p w14:paraId="4BD639E5"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G.13 </w:t>
            </w:r>
          </w:p>
        </w:tc>
        <w:tc>
          <w:tcPr>
            <w:tcW w:w="1277" w:type="dxa"/>
            <w:tcBorders>
              <w:top w:val="single" w:sz="4" w:space="0" w:color="000000"/>
              <w:left w:val="single" w:sz="4" w:space="0" w:color="000000"/>
              <w:bottom w:val="single" w:sz="4" w:space="0" w:color="000000"/>
              <w:right w:val="single" w:sz="4" w:space="0" w:color="000000"/>
            </w:tcBorders>
          </w:tcPr>
          <w:p w14:paraId="7477F190" w14:textId="77777777" w:rsidR="004A3CD3" w:rsidRDefault="006C0598">
            <w:pPr>
              <w:spacing w:after="0" w:line="259" w:lineRule="auto"/>
              <w:ind w:left="0" w:right="73" w:firstLine="0"/>
              <w:jc w:val="right"/>
            </w:pPr>
            <w:r>
              <w:t xml:space="preserve">2011 </w:t>
            </w:r>
          </w:p>
        </w:tc>
        <w:tc>
          <w:tcPr>
            <w:tcW w:w="7230" w:type="dxa"/>
            <w:tcBorders>
              <w:top w:val="single" w:sz="4" w:space="0" w:color="000000"/>
              <w:left w:val="single" w:sz="4" w:space="0" w:color="000000"/>
              <w:bottom w:val="single" w:sz="4" w:space="0" w:color="000000"/>
              <w:right w:val="single" w:sz="4" w:space="0" w:color="000000"/>
            </w:tcBorders>
          </w:tcPr>
          <w:p w14:paraId="387B0651" w14:textId="77777777" w:rsidR="004A3CD3" w:rsidRDefault="006C0598">
            <w:pPr>
              <w:spacing w:after="0" w:line="259" w:lineRule="auto"/>
              <w:ind w:left="0" w:right="107" w:firstLine="0"/>
            </w:pPr>
            <w:r>
              <w:t xml:space="preserve">Communication from the Commission to the European Parliament, the Council, the European Economic and Social Committee and the Committee of the Regions, Energy Road Map to 2050, COM (2011) 885 final, Brussels, 15 December 2011 </w:t>
            </w:r>
          </w:p>
        </w:tc>
      </w:tr>
      <w:tr w:rsidR="00E933CB" w14:paraId="4E3C1611"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4DE42B34"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G.14 </w:t>
            </w:r>
          </w:p>
        </w:tc>
        <w:tc>
          <w:tcPr>
            <w:tcW w:w="1277" w:type="dxa"/>
            <w:tcBorders>
              <w:top w:val="single" w:sz="4" w:space="0" w:color="000000"/>
              <w:left w:val="single" w:sz="4" w:space="0" w:color="000000"/>
              <w:bottom w:val="single" w:sz="4" w:space="0" w:color="000000"/>
              <w:right w:val="single" w:sz="4" w:space="0" w:color="000000"/>
            </w:tcBorders>
          </w:tcPr>
          <w:p w14:paraId="455A4993" w14:textId="77777777" w:rsidR="004A3CD3" w:rsidRDefault="006C0598">
            <w:pPr>
              <w:spacing w:after="0" w:line="259" w:lineRule="auto"/>
              <w:ind w:left="0" w:right="73" w:firstLine="0"/>
              <w:jc w:val="right"/>
            </w:pPr>
            <w:r>
              <w:t xml:space="preserve">2012 </w:t>
            </w:r>
          </w:p>
        </w:tc>
        <w:tc>
          <w:tcPr>
            <w:tcW w:w="7230" w:type="dxa"/>
            <w:tcBorders>
              <w:top w:val="single" w:sz="4" w:space="0" w:color="000000"/>
              <w:left w:val="single" w:sz="4" w:space="0" w:color="000000"/>
              <w:bottom w:val="single" w:sz="4" w:space="0" w:color="000000"/>
              <w:right w:val="single" w:sz="4" w:space="0" w:color="000000"/>
            </w:tcBorders>
          </w:tcPr>
          <w:p w14:paraId="33C56485" w14:textId="77777777" w:rsidR="004A3CD3" w:rsidRDefault="006C0598">
            <w:pPr>
              <w:spacing w:after="19" w:line="259" w:lineRule="auto"/>
              <w:ind w:left="0" w:right="0" w:firstLine="0"/>
              <w:jc w:val="left"/>
            </w:pPr>
            <w:r>
              <w:t xml:space="preserve">European Commission, Communication from the European Commission, </w:t>
            </w:r>
          </w:p>
          <w:p w14:paraId="36AE0D2C" w14:textId="77777777" w:rsidR="004A3CD3" w:rsidRDefault="006C0598">
            <w:pPr>
              <w:spacing w:after="0" w:line="259" w:lineRule="auto"/>
              <w:ind w:left="0" w:right="0" w:firstLine="0"/>
              <w:jc w:val="left"/>
            </w:pPr>
            <w:r>
              <w:t xml:space="preserve">2012 Report for Belgium, 30 May 2012, SWD(2012) 314 final </w:t>
            </w:r>
          </w:p>
        </w:tc>
      </w:tr>
      <w:tr w:rsidR="00E933CB" w14:paraId="52490935"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72277625"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G.15 </w:t>
            </w:r>
          </w:p>
        </w:tc>
        <w:tc>
          <w:tcPr>
            <w:tcW w:w="1277" w:type="dxa"/>
            <w:tcBorders>
              <w:top w:val="single" w:sz="4" w:space="0" w:color="000000"/>
              <w:left w:val="single" w:sz="4" w:space="0" w:color="000000"/>
              <w:bottom w:val="single" w:sz="4" w:space="0" w:color="000000"/>
              <w:right w:val="single" w:sz="4" w:space="0" w:color="000000"/>
            </w:tcBorders>
          </w:tcPr>
          <w:p w14:paraId="6EEC5FD3" w14:textId="77777777" w:rsidR="004A3CD3" w:rsidRDefault="006C0598">
            <w:pPr>
              <w:spacing w:after="0" w:line="259" w:lineRule="auto"/>
              <w:ind w:left="0" w:right="73" w:firstLine="0"/>
              <w:jc w:val="right"/>
            </w:pPr>
            <w:r>
              <w:t xml:space="preserve">2013 </w:t>
            </w:r>
          </w:p>
        </w:tc>
        <w:tc>
          <w:tcPr>
            <w:tcW w:w="7230" w:type="dxa"/>
            <w:tcBorders>
              <w:top w:val="single" w:sz="4" w:space="0" w:color="000000"/>
              <w:left w:val="single" w:sz="4" w:space="0" w:color="000000"/>
              <w:bottom w:val="single" w:sz="4" w:space="0" w:color="000000"/>
              <w:right w:val="single" w:sz="4" w:space="0" w:color="000000"/>
            </w:tcBorders>
          </w:tcPr>
          <w:p w14:paraId="7D25218D" w14:textId="77777777" w:rsidR="004A3CD3" w:rsidRDefault="006C0598">
            <w:pPr>
              <w:spacing w:after="16" w:line="259" w:lineRule="auto"/>
              <w:ind w:left="0" w:right="0" w:firstLine="0"/>
              <w:jc w:val="left"/>
            </w:pPr>
            <w:r>
              <w:t xml:space="preserve">European Commission, Communication from the European Commission, </w:t>
            </w:r>
          </w:p>
          <w:p w14:paraId="148520D3" w14:textId="77777777" w:rsidR="004A3CD3" w:rsidRDefault="006C0598">
            <w:pPr>
              <w:spacing w:after="0" w:line="259" w:lineRule="auto"/>
              <w:ind w:left="0" w:right="0" w:firstLine="0"/>
              <w:jc w:val="left"/>
            </w:pPr>
            <w:r>
              <w:t xml:space="preserve">Report 2013 for Belgium, 29 May 2013, SWD(2013) 351 final </w:t>
            </w:r>
          </w:p>
        </w:tc>
      </w:tr>
      <w:tr w:rsidR="00E933CB" w14:paraId="2B2AD8BE"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56F305D4"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G.16 </w:t>
            </w:r>
          </w:p>
        </w:tc>
        <w:tc>
          <w:tcPr>
            <w:tcW w:w="1277" w:type="dxa"/>
            <w:tcBorders>
              <w:top w:val="single" w:sz="4" w:space="0" w:color="000000"/>
              <w:left w:val="single" w:sz="4" w:space="0" w:color="000000"/>
              <w:bottom w:val="single" w:sz="4" w:space="0" w:color="000000"/>
              <w:right w:val="single" w:sz="4" w:space="0" w:color="000000"/>
            </w:tcBorders>
          </w:tcPr>
          <w:p w14:paraId="44336C1C" w14:textId="77777777" w:rsidR="004A3CD3" w:rsidRDefault="006C0598">
            <w:pPr>
              <w:spacing w:after="0" w:line="259" w:lineRule="auto"/>
              <w:ind w:left="0" w:right="73"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03C73CB3" w14:textId="77777777" w:rsidR="004A3CD3" w:rsidRDefault="006C0598">
            <w:pPr>
              <w:spacing w:after="19" w:line="259" w:lineRule="auto"/>
              <w:ind w:left="0" w:right="0" w:firstLine="0"/>
              <w:jc w:val="left"/>
            </w:pPr>
            <w:r>
              <w:t xml:space="preserve">European Commission, Communication from the European Commission, </w:t>
            </w:r>
          </w:p>
          <w:p w14:paraId="0D70604B" w14:textId="77777777" w:rsidR="004A3CD3" w:rsidRDefault="006C0598">
            <w:pPr>
              <w:spacing w:after="0" w:line="259" w:lineRule="auto"/>
              <w:ind w:left="0" w:right="0" w:firstLine="0"/>
              <w:jc w:val="left"/>
            </w:pPr>
            <w:r>
              <w:t xml:space="preserve">2014 Report for Belgium, 5 March 2014, SWD(2014) 75 final </w:t>
            </w:r>
          </w:p>
        </w:tc>
      </w:tr>
      <w:tr w:rsidR="00E933CB" w14:paraId="291D2938" w14:textId="77777777">
        <w:trPr>
          <w:trHeight w:val="1244"/>
        </w:trPr>
        <w:tc>
          <w:tcPr>
            <w:tcW w:w="674" w:type="dxa"/>
            <w:tcBorders>
              <w:top w:val="single" w:sz="4" w:space="0" w:color="000000"/>
              <w:left w:val="single" w:sz="4" w:space="0" w:color="000000"/>
              <w:bottom w:val="single" w:sz="4" w:space="0" w:color="000000"/>
              <w:right w:val="single" w:sz="4" w:space="0" w:color="000000"/>
            </w:tcBorders>
          </w:tcPr>
          <w:p w14:paraId="25C9AD0B"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G.17 </w:t>
            </w:r>
          </w:p>
        </w:tc>
        <w:tc>
          <w:tcPr>
            <w:tcW w:w="1277" w:type="dxa"/>
            <w:tcBorders>
              <w:top w:val="single" w:sz="4" w:space="0" w:color="000000"/>
              <w:left w:val="single" w:sz="4" w:space="0" w:color="000000"/>
              <w:bottom w:val="single" w:sz="4" w:space="0" w:color="000000"/>
              <w:right w:val="single" w:sz="4" w:space="0" w:color="000000"/>
            </w:tcBorders>
          </w:tcPr>
          <w:p w14:paraId="4500456E" w14:textId="77777777" w:rsidR="004A3CD3" w:rsidRDefault="006C0598">
            <w:pPr>
              <w:spacing w:after="0" w:line="259" w:lineRule="auto"/>
              <w:ind w:left="0" w:right="73"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36745CE9" w14:textId="77777777" w:rsidR="004A3CD3" w:rsidRDefault="006C0598">
            <w:pPr>
              <w:spacing w:after="0" w:line="259" w:lineRule="auto"/>
              <w:ind w:left="0" w:right="103" w:firstLine="0"/>
            </w:pPr>
            <w:r>
              <w:t xml:space="preserve">Regulation (EU) No 662/2014 of the European Parliament and of the Council of 15 May 2014 amending Regulation (EU) No 525/2013 as regards the technical implementation of the Kyoto Protocol to the United Nations Framework Convention on Climate Change </w:t>
            </w:r>
          </w:p>
        </w:tc>
      </w:tr>
      <w:tr w:rsidR="00E933CB" w14:paraId="5A392D37" w14:textId="77777777">
        <w:trPr>
          <w:trHeight w:val="1246"/>
        </w:trPr>
        <w:tc>
          <w:tcPr>
            <w:tcW w:w="674" w:type="dxa"/>
            <w:tcBorders>
              <w:top w:val="single" w:sz="4" w:space="0" w:color="000000"/>
              <w:left w:val="single" w:sz="4" w:space="0" w:color="000000"/>
              <w:bottom w:val="single" w:sz="4" w:space="0" w:color="000000"/>
              <w:right w:val="single" w:sz="4" w:space="0" w:color="000000"/>
            </w:tcBorders>
          </w:tcPr>
          <w:p w14:paraId="5EC30343"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G.18 </w:t>
            </w:r>
          </w:p>
        </w:tc>
        <w:tc>
          <w:tcPr>
            <w:tcW w:w="1277" w:type="dxa"/>
            <w:tcBorders>
              <w:top w:val="single" w:sz="4" w:space="0" w:color="000000"/>
              <w:left w:val="single" w:sz="4" w:space="0" w:color="000000"/>
              <w:bottom w:val="single" w:sz="4" w:space="0" w:color="000000"/>
              <w:right w:val="single" w:sz="4" w:space="0" w:color="000000"/>
            </w:tcBorders>
          </w:tcPr>
          <w:p w14:paraId="7A610AD6" w14:textId="77777777" w:rsidR="004A3CD3" w:rsidRDefault="006C0598">
            <w:pPr>
              <w:spacing w:after="0" w:line="259" w:lineRule="auto"/>
              <w:ind w:left="0" w:right="73"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77E9AA5A" w14:textId="77777777" w:rsidR="004A3CD3" w:rsidRDefault="006C0598">
            <w:pPr>
              <w:spacing w:after="0" w:line="259" w:lineRule="auto"/>
              <w:ind w:left="0" w:right="104" w:firstLine="0"/>
            </w:pPr>
            <w:r>
              <w:t xml:space="preserve">Communication from the Commission to the European Parliament, the Council, the European Economic and Social Committee and the Committee of the Regions, A framework for climate and energy action 2020-2030, COM (2014) 15 final, Brussels, 22 January 2014 </w:t>
            </w:r>
          </w:p>
        </w:tc>
      </w:tr>
      <w:tr w:rsidR="00E933CB" w14:paraId="5D3B4162" w14:textId="77777777">
        <w:trPr>
          <w:trHeight w:val="1865"/>
        </w:trPr>
        <w:tc>
          <w:tcPr>
            <w:tcW w:w="674" w:type="dxa"/>
            <w:tcBorders>
              <w:top w:val="single" w:sz="4" w:space="0" w:color="000000"/>
              <w:left w:val="single" w:sz="4" w:space="0" w:color="000000"/>
              <w:bottom w:val="single" w:sz="4" w:space="0" w:color="000000"/>
              <w:right w:val="single" w:sz="4" w:space="0" w:color="000000"/>
            </w:tcBorders>
          </w:tcPr>
          <w:p w14:paraId="5E886DD2"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G.19 </w:t>
            </w:r>
          </w:p>
        </w:tc>
        <w:tc>
          <w:tcPr>
            <w:tcW w:w="1277" w:type="dxa"/>
            <w:tcBorders>
              <w:top w:val="single" w:sz="4" w:space="0" w:color="000000"/>
              <w:left w:val="single" w:sz="4" w:space="0" w:color="000000"/>
              <w:bottom w:val="single" w:sz="4" w:space="0" w:color="000000"/>
              <w:right w:val="single" w:sz="4" w:space="0" w:color="000000"/>
            </w:tcBorders>
          </w:tcPr>
          <w:p w14:paraId="32E9FF23" w14:textId="77777777" w:rsidR="004A3CD3" w:rsidRDefault="006C0598">
            <w:pPr>
              <w:spacing w:after="0" w:line="259" w:lineRule="auto"/>
              <w:ind w:left="0" w:right="73"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55EDA021" w14:textId="77777777" w:rsidR="004A3CD3" w:rsidRDefault="006C0598">
            <w:pPr>
              <w:spacing w:after="1" w:line="275" w:lineRule="auto"/>
              <w:ind w:left="0" w:right="105" w:firstLine="0"/>
            </w:pPr>
            <w:r>
              <w:t xml:space="preserve">Commission staff working document. Executive summary of the impact assessment accompanying the document Communication from the Commission to the European Parliament, the Council, the European Economic and Social Committee and the Committee of the Regions, A policy framework for climate and energy in the period from 2020 up to 2030, SWD(2014) 16 final, </w:t>
            </w:r>
          </w:p>
          <w:p w14:paraId="1824F798" w14:textId="77777777" w:rsidR="004A3CD3" w:rsidRDefault="006C0598">
            <w:pPr>
              <w:spacing w:after="0" w:line="259" w:lineRule="auto"/>
              <w:ind w:left="0" w:right="0" w:firstLine="0"/>
              <w:jc w:val="left"/>
            </w:pPr>
            <w:r>
              <w:t xml:space="preserve">Brussels, 22 January 2014 </w:t>
            </w:r>
          </w:p>
        </w:tc>
      </w:tr>
      <w:tr w:rsidR="00E933CB" w14:paraId="77E82832" w14:textId="77777777">
        <w:trPr>
          <w:trHeight w:val="627"/>
        </w:trPr>
        <w:tc>
          <w:tcPr>
            <w:tcW w:w="674" w:type="dxa"/>
            <w:tcBorders>
              <w:top w:val="single" w:sz="4" w:space="0" w:color="000000"/>
              <w:left w:val="single" w:sz="4" w:space="0" w:color="000000"/>
              <w:bottom w:val="single" w:sz="4" w:space="0" w:color="000000"/>
              <w:right w:val="single" w:sz="4" w:space="0" w:color="000000"/>
            </w:tcBorders>
          </w:tcPr>
          <w:p w14:paraId="45482B29"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G.20 </w:t>
            </w:r>
          </w:p>
        </w:tc>
        <w:tc>
          <w:tcPr>
            <w:tcW w:w="1277" w:type="dxa"/>
            <w:tcBorders>
              <w:top w:val="single" w:sz="4" w:space="0" w:color="000000"/>
              <w:left w:val="single" w:sz="4" w:space="0" w:color="000000"/>
              <w:bottom w:val="single" w:sz="4" w:space="0" w:color="000000"/>
              <w:right w:val="single" w:sz="4" w:space="0" w:color="000000"/>
            </w:tcBorders>
          </w:tcPr>
          <w:p w14:paraId="7CACA692" w14:textId="77777777" w:rsidR="004A3CD3" w:rsidRDefault="006C0598">
            <w:pPr>
              <w:spacing w:after="0" w:line="259" w:lineRule="auto"/>
              <w:ind w:left="0" w:right="73" w:firstLine="0"/>
              <w:jc w:val="right"/>
            </w:pPr>
            <w:r>
              <w:t xml:space="preserve">2015 </w:t>
            </w:r>
          </w:p>
        </w:tc>
        <w:tc>
          <w:tcPr>
            <w:tcW w:w="7230" w:type="dxa"/>
            <w:tcBorders>
              <w:top w:val="single" w:sz="4" w:space="0" w:color="000000"/>
              <w:left w:val="single" w:sz="4" w:space="0" w:color="000000"/>
              <w:bottom w:val="single" w:sz="4" w:space="0" w:color="000000"/>
              <w:right w:val="single" w:sz="4" w:space="0" w:color="000000"/>
            </w:tcBorders>
          </w:tcPr>
          <w:p w14:paraId="067F37B6" w14:textId="77777777" w:rsidR="004A3CD3" w:rsidRDefault="006C0598">
            <w:pPr>
              <w:spacing w:after="17" w:line="259" w:lineRule="auto"/>
              <w:ind w:left="0" w:right="0" w:firstLine="0"/>
              <w:jc w:val="left"/>
            </w:pPr>
            <w:r>
              <w:t xml:space="preserve">European Commission, Communication from the European Commission, </w:t>
            </w:r>
          </w:p>
          <w:p w14:paraId="59890095" w14:textId="77777777" w:rsidR="004A3CD3" w:rsidRDefault="006C0598">
            <w:pPr>
              <w:spacing w:after="0" w:line="259" w:lineRule="auto"/>
              <w:ind w:left="0" w:right="0" w:firstLine="0"/>
              <w:jc w:val="left"/>
            </w:pPr>
            <w:r>
              <w:t xml:space="preserve">Report 2015 for Belgium, 18 March 2015, SWD(2015) 21 final/2 </w:t>
            </w:r>
          </w:p>
        </w:tc>
      </w:tr>
      <w:tr w:rsidR="00E933CB" w14:paraId="542AD401"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205AFEBA"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G.21 </w:t>
            </w:r>
          </w:p>
        </w:tc>
        <w:tc>
          <w:tcPr>
            <w:tcW w:w="1277" w:type="dxa"/>
            <w:tcBorders>
              <w:top w:val="single" w:sz="4" w:space="0" w:color="000000"/>
              <w:left w:val="single" w:sz="4" w:space="0" w:color="000000"/>
              <w:bottom w:val="single" w:sz="4" w:space="0" w:color="000000"/>
              <w:right w:val="single" w:sz="4" w:space="0" w:color="000000"/>
            </w:tcBorders>
          </w:tcPr>
          <w:p w14:paraId="5DEAE316" w14:textId="77777777" w:rsidR="004A3CD3" w:rsidRDefault="006C0598">
            <w:pPr>
              <w:spacing w:after="0" w:line="259" w:lineRule="auto"/>
              <w:ind w:left="0" w:right="73" w:firstLine="0"/>
              <w:jc w:val="right"/>
            </w:pPr>
            <w:r>
              <w:t xml:space="preserve">2016 </w:t>
            </w:r>
          </w:p>
        </w:tc>
        <w:tc>
          <w:tcPr>
            <w:tcW w:w="7230" w:type="dxa"/>
            <w:tcBorders>
              <w:top w:val="single" w:sz="4" w:space="0" w:color="000000"/>
              <w:left w:val="single" w:sz="4" w:space="0" w:color="000000"/>
              <w:bottom w:val="single" w:sz="4" w:space="0" w:color="000000"/>
              <w:right w:val="single" w:sz="4" w:space="0" w:color="000000"/>
            </w:tcBorders>
          </w:tcPr>
          <w:p w14:paraId="1716A1B4" w14:textId="77777777" w:rsidR="004A3CD3" w:rsidRDefault="006C0598">
            <w:pPr>
              <w:spacing w:after="19" w:line="259" w:lineRule="auto"/>
              <w:ind w:left="0" w:right="0" w:firstLine="0"/>
              <w:jc w:val="left"/>
            </w:pPr>
            <w:r>
              <w:t xml:space="preserve">European Commission, Communication from the European Commission, </w:t>
            </w:r>
          </w:p>
          <w:p w14:paraId="5A4640A5" w14:textId="77777777" w:rsidR="004A3CD3" w:rsidRDefault="006C0598">
            <w:pPr>
              <w:spacing w:after="0" w:line="259" w:lineRule="auto"/>
              <w:ind w:left="0" w:right="0" w:firstLine="0"/>
              <w:jc w:val="left"/>
            </w:pPr>
            <w:r>
              <w:t xml:space="preserve">Report 2016 for Belgium, 26 February 2016, SWD(2016) 71 final </w:t>
            </w:r>
          </w:p>
        </w:tc>
      </w:tr>
      <w:tr w:rsidR="00E933CB" w14:paraId="4FABADE1"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0A1410F2" w14:textId="77777777" w:rsidR="004A3CD3" w:rsidRDefault="006C0598">
            <w:pPr>
              <w:spacing w:after="0" w:line="259" w:lineRule="auto"/>
              <w:ind w:left="0" w:right="0" w:firstLine="0"/>
              <w:jc w:val="left"/>
            </w:pPr>
            <w:r>
              <w:rPr>
                <w:rFonts w:ascii="Century Gothic" w:eastAsia="Century Gothic" w:hAnsi="Century Gothic" w:cs="Century Gothic"/>
                <w:b/>
                <w:sz w:val="20"/>
              </w:rPr>
              <w:lastRenderedPageBreak/>
              <w:t xml:space="preserve">G.22 </w:t>
            </w:r>
          </w:p>
        </w:tc>
        <w:tc>
          <w:tcPr>
            <w:tcW w:w="1277" w:type="dxa"/>
            <w:tcBorders>
              <w:top w:val="single" w:sz="4" w:space="0" w:color="000000"/>
              <w:left w:val="single" w:sz="4" w:space="0" w:color="000000"/>
              <w:bottom w:val="single" w:sz="4" w:space="0" w:color="000000"/>
              <w:right w:val="single" w:sz="4" w:space="0" w:color="000000"/>
            </w:tcBorders>
          </w:tcPr>
          <w:p w14:paraId="3EDABA94" w14:textId="77777777" w:rsidR="004A3CD3" w:rsidRDefault="006C0598">
            <w:pPr>
              <w:spacing w:after="0" w:line="259" w:lineRule="auto"/>
              <w:ind w:left="0" w:right="73" w:firstLine="0"/>
              <w:jc w:val="right"/>
            </w:pPr>
            <w:r>
              <w:t xml:space="preserve">2017 </w:t>
            </w:r>
          </w:p>
        </w:tc>
        <w:tc>
          <w:tcPr>
            <w:tcW w:w="7230" w:type="dxa"/>
            <w:tcBorders>
              <w:top w:val="single" w:sz="4" w:space="0" w:color="000000"/>
              <w:left w:val="single" w:sz="4" w:space="0" w:color="000000"/>
              <w:bottom w:val="single" w:sz="4" w:space="0" w:color="000000"/>
              <w:right w:val="single" w:sz="4" w:space="0" w:color="000000"/>
            </w:tcBorders>
          </w:tcPr>
          <w:p w14:paraId="68348F1D" w14:textId="77777777" w:rsidR="004A3CD3" w:rsidRDefault="006C0598">
            <w:pPr>
              <w:spacing w:after="19" w:line="259" w:lineRule="auto"/>
              <w:ind w:left="0" w:right="0" w:firstLine="0"/>
              <w:jc w:val="left"/>
            </w:pPr>
            <w:r>
              <w:t xml:space="preserve">European Commission, Communication from the European Commission, </w:t>
            </w:r>
          </w:p>
          <w:p w14:paraId="43633316" w14:textId="77777777" w:rsidR="004A3CD3" w:rsidRDefault="006C0598">
            <w:pPr>
              <w:spacing w:after="0" w:line="259" w:lineRule="auto"/>
              <w:ind w:left="0" w:right="0" w:firstLine="0"/>
              <w:jc w:val="left"/>
            </w:pPr>
            <w:r>
              <w:t xml:space="preserve">Report 2017 for Belgium, 1 March 2017, SWD(2017) 67 final/2 </w:t>
            </w:r>
          </w:p>
        </w:tc>
      </w:tr>
    </w:tbl>
    <w:p w14:paraId="083A773E" w14:textId="77777777" w:rsidR="00E933CB" w:rsidRDefault="00E933CB">
      <w:pPr>
        <w:spacing w:after="0" w:line="259" w:lineRule="auto"/>
        <w:ind w:left="-1097" w:right="547" w:firstLine="0"/>
        <w:jc w:val="left"/>
      </w:pPr>
    </w:p>
    <w:tbl>
      <w:tblPr>
        <w:tblStyle w:val="TableGrid"/>
        <w:tblW w:w="9182" w:type="dxa"/>
        <w:tblInd w:w="468" w:type="dxa"/>
        <w:tblCellMar>
          <w:top w:w="48" w:type="dxa"/>
          <w:left w:w="108" w:type="dxa"/>
          <w:right w:w="68" w:type="dxa"/>
        </w:tblCellMar>
        <w:tblLook w:val="04A0" w:firstRow="1" w:lastRow="0" w:firstColumn="1" w:lastColumn="0" w:noHBand="0" w:noVBand="1"/>
      </w:tblPr>
      <w:tblGrid>
        <w:gridCol w:w="674"/>
        <w:gridCol w:w="1277"/>
        <w:gridCol w:w="7231"/>
      </w:tblGrid>
      <w:tr w:rsidR="00E933CB" w14:paraId="35950AE3"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45FD4B95"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G.23 </w:t>
            </w:r>
          </w:p>
        </w:tc>
        <w:tc>
          <w:tcPr>
            <w:tcW w:w="1277" w:type="dxa"/>
            <w:tcBorders>
              <w:top w:val="single" w:sz="4" w:space="0" w:color="000000"/>
              <w:left w:val="single" w:sz="4" w:space="0" w:color="000000"/>
              <w:bottom w:val="single" w:sz="4" w:space="0" w:color="000000"/>
              <w:right w:val="single" w:sz="4" w:space="0" w:color="000000"/>
            </w:tcBorders>
          </w:tcPr>
          <w:p w14:paraId="2149669A" w14:textId="77777777" w:rsidR="004A3CD3" w:rsidRDefault="006C0598">
            <w:pPr>
              <w:spacing w:after="0" w:line="259" w:lineRule="auto"/>
              <w:ind w:left="0" w:right="73"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17F1E2C3" w14:textId="77777777" w:rsidR="004A3CD3" w:rsidRDefault="006C0598">
            <w:pPr>
              <w:spacing w:after="0" w:line="259" w:lineRule="auto"/>
              <w:ind w:left="0" w:right="0" w:firstLine="0"/>
            </w:pPr>
            <w:r>
              <w:t xml:space="preserve">Ciscar K.C., Feyen L., Ibaretta D., &amp; Soria A. (coord.), </w:t>
            </w:r>
            <w:r>
              <w:rPr>
                <w:i/>
              </w:rPr>
              <w:t xml:space="preserve">Climate impacts in Europe: final report of the JRC PESETA III project </w:t>
            </w:r>
            <w:r>
              <w:t xml:space="preserve">(European Commission 2018). </w:t>
            </w:r>
          </w:p>
        </w:tc>
      </w:tr>
      <w:tr w:rsidR="00E933CB" w14:paraId="05651B29"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31CF7B36"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G.24 </w:t>
            </w:r>
          </w:p>
        </w:tc>
        <w:tc>
          <w:tcPr>
            <w:tcW w:w="1277" w:type="dxa"/>
            <w:tcBorders>
              <w:top w:val="single" w:sz="4" w:space="0" w:color="000000"/>
              <w:left w:val="single" w:sz="4" w:space="0" w:color="000000"/>
              <w:bottom w:val="single" w:sz="4" w:space="0" w:color="000000"/>
              <w:right w:val="single" w:sz="4" w:space="0" w:color="000000"/>
            </w:tcBorders>
          </w:tcPr>
          <w:p w14:paraId="7FB68ACC" w14:textId="77777777" w:rsidR="004A3CD3" w:rsidRDefault="006C0598">
            <w:pPr>
              <w:spacing w:after="0" w:line="259" w:lineRule="auto"/>
              <w:ind w:left="0" w:right="73"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18F7BF8E" w14:textId="77777777" w:rsidR="004A3CD3" w:rsidRDefault="006C0598">
            <w:pPr>
              <w:spacing w:after="19" w:line="259" w:lineRule="auto"/>
              <w:ind w:left="0" w:right="0" w:firstLine="0"/>
              <w:jc w:val="left"/>
            </w:pPr>
            <w:r>
              <w:t xml:space="preserve">European Commission, Communication from the European Commission, </w:t>
            </w:r>
          </w:p>
          <w:p w14:paraId="737C5F68" w14:textId="77777777" w:rsidR="004A3CD3" w:rsidRDefault="006C0598">
            <w:pPr>
              <w:spacing w:after="0" w:line="259" w:lineRule="auto"/>
              <w:ind w:left="0" w:right="0" w:firstLine="0"/>
              <w:jc w:val="left"/>
            </w:pPr>
            <w:r>
              <w:t xml:space="preserve">Report 2018 for Belgium, 7 March 2018, SWD(2018) 200 final </w:t>
            </w:r>
          </w:p>
        </w:tc>
      </w:tr>
      <w:tr w:rsidR="00E933CB" w14:paraId="452ABA97"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12CFA979"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G.25 </w:t>
            </w:r>
          </w:p>
        </w:tc>
        <w:tc>
          <w:tcPr>
            <w:tcW w:w="1277" w:type="dxa"/>
            <w:tcBorders>
              <w:top w:val="single" w:sz="4" w:space="0" w:color="000000"/>
              <w:left w:val="single" w:sz="4" w:space="0" w:color="000000"/>
              <w:bottom w:val="single" w:sz="4" w:space="0" w:color="000000"/>
              <w:right w:val="single" w:sz="4" w:space="0" w:color="000000"/>
            </w:tcBorders>
          </w:tcPr>
          <w:p w14:paraId="43A53590" w14:textId="77777777" w:rsidR="004A3CD3" w:rsidRDefault="006C0598">
            <w:pPr>
              <w:spacing w:after="0" w:line="259" w:lineRule="auto"/>
              <w:ind w:left="0" w:right="73"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3404AE67" w14:textId="77777777" w:rsidR="004A3CD3" w:rsidRDefault="006C0598">
            <w:pPr>
              <w:spacing w:after="0" w:line="276" w:lineRule="auto"/>
              <w:ind w:left="0" w:right="0" w:firstLine="0"/>
            </w:pPr>
            <w:r>
              <w:t xml:space="preserve">European Commission, European Commission Report 2018, "The EU and the Paris Climate Agreement: taking stock of progress at the COP in </w:t>
            </w:r>
          </w:p>
          <w:p w14:paraId="32A37E22" w14:textId="77777777" w:rsidR="004A3CD3" w:rsidRDefault="006C0598">
            <w:pPr>
              <w:spacing w:after="0" w:line="259" w:lineRule="auto"/>
              <w:ind w:left="0" w:right="0" w:firstLine="0"/>
              <w:jc w:val="left"/>
            </w:pPr>
            <w:r>
              <w:t xml:space="preserve">Katowice", 26 October 2018, COM(2018) 716 final </w:t>
            </w:r>
          </w:p>
        </w:tc>
      </w:tr>
      <w:tr w:rsidR="00E933CB" w14:paraId="530B5182"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1344FD56"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G.26 </w:t>
            </w:r>
          </w:p>
        </w:tc>
        <w:tc>
          <w:tcPr>
            <w:tcW w:w="1277" w:type="dxa"/>
            <w:tcBorders>
              <w:top w:val="single" w:sz="4" w:space="0" w:color="000000"/>
              <w:left w:val="single" w:sz="4" w:space="0" w:color="000000"/>
              <w:bottom w:val="single" w:sz="4" w:space="0" w:color="000000"/>
              <w:right w:val="single" w:sz="4" w:space="0" w:color="000000"/>
            </w:tcBorders>
          </w:tcPr>
          <w:p w14:paraId="58B794D9" w14:textId="77777777" w:rsidR="004A3CD3" w:rsidRDefault="006C0598">
            <w:pPr>
              <w:spacing w:after="0" w:line="259" w:lineRule="auto"/>
              <w:ind w:left="0" w:right="73"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15D6230C" w14:textId="77777777" w:rsidR="004A3CD3" w:rsidRDefault="006C0598">
            <w:pPr>
              <w:spacing w:after="0" w:line="259" w:lineRule="auto"/>
              <w:ind w:left="0" w:right="0" w:firstLine="0"/>
            </w:pPr>
            <w:r>
              <w:t xml:space="preserve">Eurostat, Report "Smarter, greener, more inclusive? Indicators to support the Europe 2020 Strategy", Luxemburg, European Union, 2018 </w:t>
            </w:r>
          </w:p>
        </w:tc>
      </w:tr>
      <w:tr w:rsidR="00E933CB" w14:paraId="7CFA8CA3"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7442D35F"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G.27 </w:t>
            </w:r>
          </w:p>
        </w:tc>
        <w:tc>
          <w:tcPr>
            <w:tcW w:w="1277" w:type="dxa"/>
            <w:tcBorders>
              <w:top w:val="single" w:sz="4" w:space="0" w:color="000000"/>
              <w:left w:val="single" w:sz="4" w:space="0" w:color="000000"/>
              <w:bottom w:val="single" w:sz="4" w:space="0" w:color="000000"/>
              <w:right w:val="single" w:sz="4" w:space="0" w:color="000000"/>
            </w:tcBorders>
          </w:tcPr>
          <w:p w14:paraId="42B3D9F9" w14:textId="77777777" w:rsidR="004A3CD3" w:rsidRDefault="006C0598">
            <w:pPr>
              <w:spacing w:after="0" w:line="259" w:lineRule="auto"/>
              <w:ind w:left="0" w:right="73"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08BE060B" w14:textId="77777777" w:rsidR="004A3CD3" w:rsidRDefault="006C0598">
            <w:pPr>
              <w:spacing w:after="0" w:line="259" w:lineRule="auto"/>
              <w:ind w:left="0" w:right="107" w:firstLine="0"/>
            </w:pPr>
            <w:r>
              <w:t xml:space="preserve">European Commission, Commission Staff Working Document. Report 2019 for Belgium, Brussels, 27 February 2019, SWD (2019) 1000 final </w:t>
            </w:r>
          </w:p>
        </w:tc>
      </w:tr>
      <w:tr w:rsidR="00E933CB" w14:paraId="60E294C5" w14:textId="77777777">
        <w:trPr>
          <w:trHeight w:val="1556"/>
        </w:trPr>
        <w:tc>
          <w:tcPr>
            <w:tcW w:w="674" w:type="dxa"/>
            <w:tcBorders>
              <w:top w:val="single" w:sz="4" w:space="0" w:color="000000"/>
              <w:left w:val="single" w:sz="4" w:space="0" w:color="000000"/>
              <w:bottom w:val="single" w:sz="4" w:space="0" w:color="000000"/>
              <w:right w:val="single" w:sz="4" w:space="0" w:color="000000"/>
            </w:tcBorders>
          </w:tcPr>
          <w:p w14:paraId="32F255B5"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G.28 </w:t>
            </w:r>
          </w:p>
        </w:tc>
        <w:tc>
          <w:tcPr>
            <w:tcW w:w="1277" w:type="dxa"/>
            <w:tcBorders>
              <w:top w:val="single" w:sz="4" w:space="0" w:color="000000"/>
              <w:left w:val="single" w:sz="4" w:space="0" w:color="000000"/>
              <w:bottom w:val="single" w:sz="4" w:space="0" w:color="000000"/>
              <w:right w:val="single" w:sz="4" w:space="0" w:color="000000"/>
            </w:tcBorders>
          </w:tcPr>
          <w:p w14:paraId="15CECA69" w14:textId="77777777" w:rsidR="004A3CD3" w:rsidRDefault="006C0598">
            <w:pPr>
              <w:spacing w:after="0" w:line="259" w:lineRule="auto"/>
              <w:ind w:left="0" w:right="73"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3937E6D3" w14:textId="77777777" w:rsidR="004A3CD3" w:rsidRDefault="006C0598">
            <w:pPr>
              <w:spacing w:after="1" w:line="275" w:lineRule="auto"/>
              <w:ind w:left="0" w:right="106" w:firstLine="0"/>
            </w:pPr>
            <w:r>
              <w:t xml:space="preserve">Communication from the Commission to the European Parliament, the Council, the European Economic and Social Committee and the Committee of the Regions, A clean planet for all. A strategic long-term European vision for a prosperous, modern, competitive and climate-neutral economy, COM </w:t>
            </w:r>
          </w:p>
          <w:p w14:paraId="309F0DD6" w14:textId="77777777" w:rsidR="004A3CD3" w:rsidRDefault="006C0598">
            <w:pPr>
              <w:spacing w:after="0" w:line="259" w:lineRule="auto"/>
              <w:ind w:left="0" w:right="0" w:firstLine="0"/>
              <w:jc w:val="left"/>
            </w:pPr>
            <w:r>
              <w:t xml:space="preserve">(2018) 773 final, Brussels, 28 November 2018 </w:t>
            </w:r>
          </w:p>
        </w:tc>
      </w:tr>
      <w:tr w:rsidR="00E933CB" w14:paraId="4828DC3A"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6F723516"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G.29 </w:t>
            </w:r>
          </w:p>
        </w:tc>
        <w:tc>
          <w:tcPr>
            <w:tcW w:w="1277" w:type="dxa"/>
            <w:tcBorders>
              <w:top w:val="single" w:sz="4" w:space="0" w:color="000000"/>
              <w:left w:val="single" w:sz="4" w:space="0" w:color="000000"/>
              <w:bottom w:val="single" w:sz="4" w:space="0" w:color="000000"/>
              <w:right w:val="single" w:sz="4" w:space="0" w:color="000000"/>
            </w:tcBorders>
          </w:tcPr>
          <w:p w14:paraId="0B6B7FF0" w14:textId="77777777" w:rsidR="004A3CD3" w:rsidRDefault="006C0598">
            <w:pPr>
              <w:spacing w:after="0" w:line="259" w:lineRule="auto"/>
              <w:ind w:left="0" w:right="73"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3617BFE1" w14:textId="77777777" w:rsidR="004A3CD3" w:rsidRDefault="006C0598">
            <w:pPr>
              <w:spacing w:after="0" w:line="259" w:lineRule="auto"/>
              <w:ind w:left="0" w:right="0" w:firstLine="0"/>
              <w:jc w:val="left"/>
            </w:pPr>
            <w:r>
              <w:t xml:space="preserve">Regulation 2018/842 </w:t>
            </w:r>
          </w:p>
        </w:tc>
      </w:tr>
      <w:tr w:rsidR="00E933CB" w14:paraId="567A1C9A"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62956D77"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G.30 </w:t>
            </w:r>
          </w:p>
        </w:tc>
        <w:tc>
          <w:tcPr>
            <w:tcW w:w="1277" w:type="dxa"/>
            <w:tcBorders>
              <w:top w:val="single" w:sz="4" w:space="0" w:color="000000"/>
              <w:left w:val="single" w:sz="4" w:space="0" w:color="000000"/>
              <w:bottom w:val="single" w:sz="4" w:space="0" w:color="000000"/>
              <w:right w:val="single" w:sz="4" w:space="0" w:color="000000"/>
            </w:tcBorders>
          </w:tcPr>
          <w:p w14:paraId="19956A9D" w14:textId="77777777" w:rsidR="004A3CD3" w:rsidRDefault="006C0598">
            <w:pPr>
              <w:spacing w:after="0" w:line="259" w:lineRule="auto"/>
              <w:ind w:left="0" w:right="73"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1427D098" w14:textId="77777777" w:rsidR="004A3CD3" w:rsidRDefault="006C0598">
            <w:pPr>
              <w:spacing w:after="0" w:line="259" w:lineRule="auto"/>
              <w:ind w:left="0" w:right="0" w:firstLine="0"/>
              <w:jc w:val="left"/>
            </w:pPr>
            <w:r>
              <w:t xml:space="preserve">Governance Regulation 2018/1999 </w:t>
            </w:r>
          </w:p>
        </w:tc>
      </w:tr>
      <w:tr w:rsidR="00E933CB" w14:paraId="63ADB935" w14:textId="77777777">
        <w:trPr>
          <w:trHeight w:val="317"/>
        </w:trPr>
        <w:tc>
          <w:tcPr>
            <w:tcW w:w="674" w:type="dxa"/>
            <w:tcBorders>
              <w:top w:val="single" w:sz="4" w:space="0" w:color="000000"/>
              <w:left w:val="single" w:sz="4" w:space="0" w:color="000000"/>
              <w:bottom w:val="single" w:sz="4" w:space="0" w:color="000000"/>
              <w:right w:val="single" w:sz="4" w:space="0" w:color="000000"/>
            </w:tcBorders>
          </w:tcPr>
          <w:p w14:paraId="25A8216E"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G.31 </w:t>
            </w:r>
          </w:p>
        </w:tc>
        <w:tc>
          <w:tcPr>
            <w:tcW w:w="1277" w:type="dxa"/>
            <w:tcBorders>
              <w:top w:val="single" w:sz="4" w:space="0" w:color="000000"/>
              <w:left w:val="single" w:sz="4" w:space="0" w:color="000000"/>
              <w:bottom w:val="single" w:sz="4" w:space="0" w:color="000000"/>
              <w:right w:val="single" w:sz="4" w:space="0" w:color="000000"/>
            </w:tcBorders>
          </w:tcPr>
          <w:p w14:paraId="3E173880" w14:textId="77777777" w:rsidR="004A3CD3" w:rsidRDefault="006C0598">
            <w:pPr>
              <w:spacing w:after="0" w:line="259" w:lineRule="auto"/>
              <w:ind w:left="0" w:right="73"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1BDF618A" w14:textId="77777777" w:rsidR="004A3CD3" w:rsidRDefault="006C0598">
            <w:pPr>
              <w:spacing w:after="0" w:line="259" w:lineRule="auto"/>
              <w:ind w:left="0" w:right="0" w:firstLine="0"/>
              <w:jc w:val="left"/>
            </w:pPr>
            <w:r>
              <w:t xml:space="preserve">Directive 2018/2001 </w:t>
            </w:r>
          </w:p>
        </w:tc>
      </w:tr>
      <w:tr w:rsidR="00E933CB" w14:paraId="75692336"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1AA70A70"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G.32 </w:t>
            </w:r>
          </w:p>
        </w:tc>
        <w:tc>
          <w:tcPr>
            <w:tcW w:w="1277" w:type="dxa"/>
            <w:tcBorders>
              <w:top w:val="single" w:sz="4" w:space="0" w:color="000000"/>
              <w:left w:val="single" w:sz="4" w:space="0" w:color="000000"/>
              <w:bottom w:val="single" w:sz="4" w:space="0" w:color="000000"/>
              <w:right w:val="single" w:sz="4" w:space="0" w:color="000000"/>
            </w:tcBorders>
          </w:tcPr>
          <w:p w14:paraId="1548188C" w14:textId="77777777" w:rsidR="004A3CD3" w:rsidRDefault="006C0598">
            <w:pPr>
              <w:spacing w:after="0" w:line="259" w:lineRule="auto"/>
              <w:ind w:left="0" w:right="73"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09E26CA2" w14:textId="77777777" w:rsidR="004A3CD3" w:rsidRDefault="006C0598">
            <w:pPr>
              <w:spacing w:after="16" w:line="259" w:lineRule="auto"/>
              <w:ind w:left="0" w:right="0" w:firstLine="0"/>
              <w:jc w:val="left"/>
            </w:pPr>
            <w:r>
              <w:t xml:space="preserve">European Commission, Communication from the European Commission, </w:t>
            </w:r>
          </w:p>
          <w:p w14:paraId="4E6E380D" w14:textId="77777777" w:rsidR="004A3CD3" w:rsidRDefault="006C0598">
            <w:pPr>
              <w:spacing w:after="0" w:line="259" w:lineRule="auto"/>
              <w:ind w:left="0" w:right="0" w:firstLine="0"/>
              <w:jc w:val="left"/>
            </w:pPr>
            <w:r>
              <w:t xml:space="preserve">Report 2019 for Belgium, 27 February 2019, SWD(2018) 200 final </w:t>
            </w:r>
          </w:p>
        </w:tc>
      </w:tr>
      <w:tr w:rsidR="00E933CB" w14:paraId="194199D2"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5D78BC50"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G.33 </w:t>
            </w:r>
          </w:p>
        </w:tc>
        <w:tc>
          <w:tcPr>
            <w:tcW w:w="1277" w:type="dxa"/>
            <w:tcBorders>
              <w:top w:val="single" w:sz="4" w:space="0" w:color="000000"/>
              <w:left w:val="single" w:sz="4" w:space="0" w:color="000000"/>
              <w:bottom w:val="single" w:sz="4" w:space="0" w:color="000000"/>
              <w:right w:val="single" w:sz="4" w:space="0" w:color="000000"/>
            </w:tcBorders>
          </w:tcPr>
          <w:p w14:paraId="7BDD1FE7" w14:textId="77777777" w:rsidR="004A3CD3" w:rsidRDefault="006C0598">
            <w:pPr>
              <w:spacing w:after="0" w:line="259" w:lineRule="auto"/>
              <w:ind w:left="0" w:right="73"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6D1DCEC3" w14:textId="77777777" w:rsidR="004A3CD3" w:rsidRDefault="006C0598">
            <w:pPr>
              <w:spacing w:after="19" w:line="259" w:lineRule="auto"/>
              <w:ind w:left="0" w:right="0" w:firstLine="0"/>
              <w:jc w:val="left"/>
            </w:pPr>
            <w:r>
              <w:t xml:space="preserve">European Commission, "Assessment of the draft National Energy and </w:t>
            </w:r>
          </w:p>
          <w:p w14:paraId="2B91F3C5" w14:textId="77777777" w:rsidR="004A3CD3" w:rsidRDefault="006C0598">
            <w:pPr>
              <w:spacing w:after="0" w:line="259" w:lineRule="auto"/>
              <w:ind w:left="0" w:right="0" w:firstLine="0"/>
              <w:jc w:val="left"/>
            </w:pPr>
            <w:r>
              <w:t xml:space="preserve">Climate Plan of Belgium", 18 June 2019, SWD(2019) 211 final </w:t>
            </w:r>
          </w:p>
        </w:tc>
      </w:tr>
      <w:tr w:rsidR="00E933CB" w14:paraId="1053AB9E" w14:textId="77777777">
        <w:trPr>
          <w:trHeight w:val="1246"/>
        </w:trPr>
        <w:tc>
          <w:tcPr>
            <w:tcW w:w="674" w:type="dxa"/>
            <w:tcBorders>
              <w:top w:val="single" w:sz="4" w:space="0" w:color="000000"/>
              <w:left w:val="single" w:sz="4" w:space="0" w:color="000000"/>
              <w:bottom w:val="single" w:sz="4" w:space="0" w:color="000000"/>
              <w:right w:val="single" w:sz="4" w:space="0" w:color="000000"/>
            </w:tcBorders>
          </w:tcPr>
          <w:p w14:paraId="04B6CB2F"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G.34 </w:t>
            </w:r>
          </w:p>
        </w:tc>
        <w:tc>
          <w:tcPr>
            <w:tcW w:w="1277" w:type="dxa"/>
            <w:tcBorders>
              <w:top w:val="single" w:sz="4" w:space="0" w:color="000000"/>
              <w:left w:val="single" w:sz="4" w:space="0" w:color="000000"/>
              <w:bottom w:val="single" w:sz="4" w:space="0" w:color="000000"/>
              <w:right w:val="single" w:sz="4" w:space="0" w:color="000000"/>
            </w:tcBorders>
          </w:tcPr>
          <w:p w14:paraId="739D7EE5" w14:textId="77777777" w:rsidR="004A3CD3" w:rsidRDefault="006C0598">
            <w:pPr>
              <w:spacing w:after="0" w:line="259" w:lineRule="auto"/>
              <w:ind w:left="0" w:right="73"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7C1A1990" w14:textId="77777777" w:rsidR="004A3CD3" w:rsidRDefault="006C0598">
            <w:pPr>
              <w:spacing w:after="0" w:line="259" w:lineRule="auto"/>
              <w:ind w:left="0" w:right="103" w:firstLine="0"/>
            </w:pPr>
            <w:r>
              <w:t xml:space="preserve">European Commission, Commission recommendations of 18 June 2019 on Belgium's draft integrated national energy and climate plan covering the period 2021-2030, C(2019) 4401 final, SWD(2019) 211 final </w:t>
            </w:r>
          </w:p>
        </w:tc>
      </w:tr>
      <w:tr w:rsidR="00E933CB" w14:paraId="7561D0BC"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74EB7B13"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G.35 </w:t>
            </w:r>
          </w:p>
        </w:tc>
        <w:tc>
          <w:tcPr>
            <w:tcW w:w="1277" w:type="dxa"/>
            <w:tcBorders>
              <w:top w:val="single" w:sz="4" w:space="0" w:color="000000"/>
              <w:left w:val="single" w:sz="4" w:space="0" w:color="000000"/>
              <w:bottom w:val="single" w:sz="4" w:space="0" w:color="000000"/>
              <w:right w:val="single" w:sz="4" w:space="0" w:color="000000"/>
            </w:tcBorders>
          </w:tcPr>
          <w:p w14:paraId="08DD8E54" w14:textId="77777777" w:rsidR="004A3CD3" w:rsidRDefault="006C0598">
            <w:pPr>
              <w:spacing w:after="0" w:line="259" w:lineRule="auto"/>
              <w:ind w:left="0" w:right="73"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36A9DAE6" w14:textId="77777777" w:rsidR="004A3CD3" w:rsidRDefault="006C0598">
            <w:pPr>
              <w:spacing w:after="19" w:line="259" w:lineRule="auto"/>
              <w:ind w:left="0" w:right="0" w:firstLine="0"/>
              <w:jc w:val="left"/>
            </w:pPr>
            <w:r>
              <w:t xml:space="preserve">EUROFOUND, Energy scenario: Employment implications of the Paris Climate </w:t>
            </w:r>
          </w:p>
          <w:p w14:paraId="2D3F6DBE" w14:textId="77777777" w:rsidR="004A3CD3" w:rsidRDefault="006C0598">
            <w:pPr>
              <w:spacing w:after="0" w:line="259" w:lineRule="auto"/>
              <w:ind w:left="0" w:right="0" w:firstLine="0"/>
              <w:jc w:val="left"/>
            </w:pPr>
            <w:r>
              <w:t xml:space="preserve">Agreement, Luxemburg, Publication office of the European Union, 2019 </w:t>
            </w:r>
          </w:p>
        </w:tc>
      </w:tr>
      <w:tr w:rsidR="00E933CB" w14:paraId="1DDB3D8D" w14:textId="77777777">
        <w:trPr>
          <w:trHeight w:val="1246"/>
        </w:trPr>
        <w:tc>
          <w:tcPr>
            <w:tcW w:w="674" w:type="dxa"/>
            <w:tcBorders>
              <w:top w:val="single" w:sz="4" w:space="0" w:color="000000"/>
              <w:left w:val="single" w:sz="4" w:space="0" w:color="000000"/>
              <w:bottom w:val="single" w:sz="4" w:space="0" w:color="000000"/>
              <w:right w:val="single" w:sz="4" w:space="0" w:color="000000"/>
            </w:tcBorders>
          </w:tcPr>
          <w:p w14:paraId="4491BDC6"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G.36 </w:t>
            </w:r>
          </w:p>
        </w:tc>
        <w:tc>
          <w:tcPr>
            <w:tcW w:w="1277" w:type="dxa"/>
            <w:tcBorders>
              <w:top w:val="single" w:sz="4" w:space="0" w:color="000000"/>
              <w:left w:val="single" w:sz="4" w:space="0" w:color="000000"/>
              <w:bottom w:val="single" w:sz="4" w:space="0" w:color="000000"/>
              <w:right w:val="single" w:sz="4" w:space="0" w:color="000000"/>
            </w:tcBorders>
          </w:tcPr>
          <w:p w14:paraId="262A29FA" w14:textId="77777777" w:rsidR="004A3CD3" w:rsidRDefault="006C0598">
            <w:pPr>
              <w:spacing w:after="0" w:line="259" w:lineRule="auto"/>
              <w:ind w:left="0" w:right="73"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3A991584" w14:textId="77777777" w:rsidR="004A3CD3" w:rsidRDefault="006C0598">
            <w:pPr>
              <w:spacing w:after="0" w:line="259" w:lineRule="auto"/>
              <w:ind w:left="0" w:right="107" w:firstLine="0"/>
            </w:pPr>
            <w:r>
              <w:t xml:space="preserve">European Parliament, Resolution of 14 March 2019 on climate change - A long-term strategic European vision for a prosperous, modern, competitive and climate-neutral economy in line with the Paris Agreement (2019/2582 (RSP)) </w:t>
            </w:r>
          </w:p>
        </w:tc>
      </w:tr>
      <w:tr w:rsidR="00E933CB" w14:paraId="0F984377"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7ED50078"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G.37 </w:t>
            </w:r>
          </w:p>
        </w:tc>
        <w:tc>
          <w:tcPr>
            <w:tcW w:w="1277" w:type="dxa"/>
            <w:tcBorders>
              <w:top w:val="single" w:sz="4" w:space="0" w:color="000000"/>
              <w:left w:val="single" w:sz="4" w:space="0" w:color="000000"/>
              <w:bottom w:val="single" w:sz="4" w:space="0" w:color="000000"/>
              <w:right w:val="single" w:sz="4" w:space="0" w:color="000000"/>
            </w:tcBorders>
          </w:tcPr>
          <w:p w14:paraId="4C7FE8EA" w14:textId="77777777" w:rsidR="004A3CD3" w:rsidRDefault="006C0598">
            <w:pPr>
              <w:spacing w:after="0" w:line="259" w:lineRule="auto"/>
              <w:ind w:left="0" w:right="73"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62173372" w14:textId="77777777" w:rsidR="004A3CD3" w:rsidRDefault="006C0598">
            <w:pPr>
              <w:spacing w:after="19" w:line="259" w:lineRule="auto"/>
              <w:ind w:left="0" w:right="0" w:firstLine="0"/>
              <w:jc w:val="left"/>
            </w:pPr>
            <w:r>
              <w:t xml:space="preserve">European Commission press release of 28 November 2018: </w:t>
            </w:r>
          </w:p>
          <w:p w14:paraId="2F1D7F78" w14:textId="77777777" w:rsidR="004A3CD3" w:rsidRDefault="006C0598">
            <w:pPr>
              <w:spacing w:after="16" w:line="259" w:lineRule="auto"/>
              <w:ind w:left="0" w:right="0" w:firstLine="0"/>
              <w:jc w:val="left"/>
            </w:pPr>
            <w:r>
              <w:t xml:space="preserve">"The Commission calls for a climate neutral Europe by </w:t>
            </w:r>
          </w:p>
          <w:p w14:paraId="19AFFD61" w14:textId="77777777" w:rsidR="004A3CD3" w:rsidRDefault="006C0598">
            <w:pPr>
              <w:spacing w:after="0" w:line="259" w:lineRule="auto"/>
              <w:ind w:left="0" w:right="0" w:firstLine="0"/>
              <w:jc w:val="left"/>
            </w:pPr>
            <w:r>
              <w:t xml:space="preserve">2050" </w:t>
            </w:r>
          </w:p>
        </w:tc>
      </w:tr>
      <w:tr w:rsidR="00E933CB" w14:paraId="1485B798" w14:textId="77777777">
        <w:trPr>
          <w:trHeight w:val="627"/>
        </w:trPr>
        <w:tc>
          <w:tcPr>
            <w:tcW w:w="674" w:type="dxa"/>
            <w:tcBorders>
              <w:top w:val="single" w:sz="4" w:space="0" w:color="000000"/>
              <w:left w:val="single" w:sz="4" w:space="0" w:color="000000"/>
              <w:bottom w:val="single" w:sz="4" w:space="0" w:color="000000"/>
              <w:right w:val="single" w:sz="4" w:space="0" w:color="000000"/>
            </w:tcBorders>
          </w:tcPr>
          <w:p w14:paraId="5F60DBCF"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G.38 </w:t>
            </w:r>
          </w:p>
        </w:tc>
        <w:tc>
          <w:tcPr>
            <w:tcW w:w="1277" w:type="dxa"/>
            <w:tcBorders>
              <w:top w:val="single" w:sz="4" w:space="0" w:color="000000"/>
              <w:left w:val="single" w:sz="4" w:space="0" w:color="000000"/>
              <w:bottom w:val="single" w:sz="4" w:space="0" w:color="000000"/>
              <w:right w:val="single" w:sz="4" w:space="0" w:color="000000"/>
            </w:tcBorders>
          </w:tcPr>
          <w:p w14:paraId="21DD7B27" w14:textId="77777777" w:rsidR="004A3CD3" w:rsidRDefault="006C0598">
            <w:pPr>
              <w:spacing w:after="0" w:line="259" w:lineRule="auto"/>
              <w:ind w:left="0" w:right="73"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48CA50AC" w14:textId="77777777" w:rsidR="004A3CD3" w:rsidRDefault="006C0598">
            <w:pPr>
              <w:spacing w:after="0" w:line="259" w:lineRule="auto"/>
              <w:ind w:left="0" w:right="0" w:firstLine="0"/>
            </w:pPr>
            <w:r>
              <w:t xml:space="preserve">European Parliament, Resolution of 28 November 2019 "on the climate and environment emergency" (2019/2930(RSP)) </w:t>
            </w:r>
          </w:p>
        </w:tc>
      </w:tr>
      <w:tr w:rsidR="00E933CB" w14:paraId="2A3C4241" w14:textId="77777777">
        <w:trPr>
          <w:trHeight w:val="1248"/>
        </w:trPr>
        <w:tc>
          <w:tcPr>
            <w:tcW w:w="674" w:type="dxa"/>
            <w:tcBorders>
              <w:top w:val="single" w:sz="4" w:space="0" w:color="000000"/>
              <w:left w:val="single" w:sz="4" w:space="0" w:color="000000"/>
              <w:bottom w:val="single" w:sz="4" w:space="0" w:color="000000"/>
              <w:right w:val="single" w:sz="4" w:space="0" w:color="000000"/>
            </w:tcBorders>
          </w:tcPr>
          <w:p w14:paraId="68E10547" w14:textId="77777777" w:rsidR="004A3CD3" w:rsidRDefault="006C0598">
            <w:pPr>
              <w:spacing w:after="0" w:line="259" w:lineRule="auto"/>
              <w:ind w:left="0" w:right="0" w:firstLine="0"/>
              <w:jc w:val="left"/>
            </w:pPr>
            <w:r>
              <w:rPr>
                <w:rFonts w:ascii="Century Gothic" w:eastAsia="Century Gothic" w:hAnsi="Century Gothic" w:cs="Century Gothic"/>
                <w:b/>
                <w:sz w:val="20"/>
              </w:rPr>
              <w:lastRenderedPageBreak/>
              <w:t xml:space="preserve">G.39 </w:t>
            </w:r>
          </w:p>
        </w:tc>
        <w:tc>
          <w:tcPr>
            <w:tcW w:w="1277" w:type="dxa"/>
            <w:tcBorders>
              <w:top w:val="single" w:sz="4" w:space="0" w:color="000000"/>
              <w:left w:val="single" w:sz="4" w:space="0" w:color="000000"/>
              <w:bottom w:val="single" w:sz="4" w:space="0" w:color="000000"/>
              <w:right w:val="single" w:sz="4" w:space="0" w:color="000000"/>
            </w:tcBorders>
          </w:tcPr>
          <w:p w14:paraId="1B946470" w14:textId="77777777" w:rsidR="004A3CD3" w:rsidRDefault="006C0598">
            <w:pPr>
              <w:spacing w:after="0" w:line="259" w:lineRule="auto"/>
              <w:ind w:left="0" w:right="73"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26DDE8E4" w14:textId="77777777" w:rsidR="004A3CD3" w:rsidRDefault="006C0598">
            <w:pPr>
              <w:spacing w:after="0" w:line="259" w:lineRule="auto"/>
              <w:ind w:left="0" w:right="105" w:firstLine="0"/>
            </w:pPr>
            <w:r>
              <w:t xml:space="preserve">European Commission, Communication to the European Parliament, the European Council, the Council, the European Economic and Social Committee and the Committee of the Regions, </w:t>
            </w:r>
            <w:r>
              <w:rPr>
                <w:i/>
              </w:rPr>
              <w:t>The European Green deal</w:t>
            </w:r>
            <w:r>
              <w:t xml:space="preserve">, Brussels, 11 December 2019, COM(2019) 640 final, </w:t>
            </w:r>
          </w:p>
        </w:tc>
      </w:tr>
      <w:tr w:rsidR="00E933CB" w14:paraId="37F2C304" w14:textId="77777777">
        <w:trPr>
          <w:trHeight w:val="320"/>
        </w:trPr>
        <w:tc>
          <w:tcPr>
            <w:tcW w:w="674" w:type="dxa"/>
            <w:tcBorders>
              <w:top w:val="single" w:sz="4" w:space="0" w:color="000000"/>
              <w:left w:val="single" w:sz="4" w:space="0" w:color="000000"/>
              <w:bottom w:val="single" w:sz="4" w:space="0" w:color="000000"/>
              <w:right w:val="single" w:sz="4" w:space="0" w:color="000000"/>
            </w:tcBorders>
          </w:tcPr>
          <w:p w14:paraId="64C67FC4"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G.40 </w:t>
            </w:r>
          </w:p>
        </w:tc>
        <w:tc>
          <w:tcPr>
            <w:tcW w:w="1277" w:type="dxa"/>
            <w:tcBorders>
              <w:top w:val="single" w:sz="4" w:space="0" w:color="000000"/>
              <w:left w:val="single" w:sz="4" w:space="0" w:color="000000"/>
              <w:bottom w:val="single" w:sz="4" w:space="0" w:color="000000"/>
              <w:right w:val="single" w:sz="4" w:space="0" w:color="000000"/>
            </w:tcBorders>
          </w:tcPr>
          <w:p w14:paraId="2E207F56" w14:textId="77777777" w:rsidR="004A3CD3" w:rsidRDefault="006C0598">
            <w:pPr>
              <w:spacing w:after="0" w:line="259" w:lineRule="auto"/>
              <w:ind w:left="0" w:right="73"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2FC1C6C2" w14:textId="77777777" w:rsidR="004A3CD3" w:rsidRDefault="006C0598">
            <w:pPr>
              <w:spacing w:after="0" w:line="259" w:lineRule="auto"/>
              <w:ind w:left="0" w:right="0" w:firstLine="0"/>
              <w:jc w:val="left"/>
            </w:pPr>
            <w:r>
              <w:t xml:space="preserve">EUROPEAN COUNCIL, Notes of the meetings of 12 December 2019 </w:t>
            </w:r>
          </w:p>
        </w:tc>
      </w:tr>
    </w:tbl>
    <w:p w14:paraId="77302F51" w14:textId="77777777" w:rsidR="00E933CB" w:rsidRDefault="00825B93">
      <w:pPr>
        <w:spacing w:after="98" w:line="259" w:lineRule="auto"/>
        <w:ind w:left="1030" w:right="0" w:firstLine="0"/>
      </w:pPr>
      <w:r>
        <w:t xml:space="preserve"> </w:t>
      </w:r>
    </w:p>
    <w:p w14:paraId="0E941F7B" w14:textId="77777777" w:rsidR="00E933CB" w:rsidRDefault="00825B93">
      <w:pPr>
        <w:spacing w:after="98" w:line="259" w:lineRule="auto"/>
        <w:ind w:left="1030" w:right="0" w:firstLine="0"/>
      </w:pPr>
      <w:r>
        <w:t xml:space="preserve"> </w:t>
      </w:r>
    </w:p>
    <w:p w14:paraId="63885845" w14:textId="77777777" w:rsidR="00E933CB" w:rsidRDefault="00825B93">
      <w:pPr>
        <w:spacing w:after="0" w:line="259" w:lineRule="auto"/>
        <w:ind w:left="1030" w:right="0" w:firstLine="0"/>
      </w:pPr>
      <w:r>
        <w:t xml:space="preserve"> </w:t>
      </w:r>
    </w:p>
    <w:tbl>
      <w:tblPr>
        <w:tblStyle w:val="TableGrid"/>
        <w:tblW w:w="9182" w:type="dxa"/>
        <w:tblInd w:w="468" w:type="dxa"/>
        <w:tblCellMar>
          <w:top w:w="48" w:type="dxa"/>
          <w:left w:w="108" w:type="dxa"/>
          <w:right w:w="92" w:type="dxa"/>
        </w:tblCellMar>
        <w:tblLook w:val="04A0" w:firstRow="1" w:lastRow="0" w:firstColumn="1" w:lastColumn="0" w:noHBand="0" w:noVBand="1"/>
      </w:tblPr>
      <w:tblGrid>
        <w:gridCol w:w="674"/>
        <w:gridCol w:w="1277"/>
        <w:gridCol w:w="7231"/>
      </w:tblGrid>
      <w:tr w:rsidR="00E933CB" w14:paraId="6C645A86" w14:textId="77777777">
        <w:trPr>
          <w:trHeight w:val="571"/>
        </w:trPr>
        <w:tc>
          <w:tcPr>
            <w:tcW w:w="674" w:type="dxa"/>
            <w:tcBorders>
              <w:top w:val="single" w:sz="4" w:space="0" w:color="000000"/>
              <w:left w:val="single" w:sz="4" w:space="0" w:color="000000"/>
              <w:bottom w:val="single" w:sz="4" w:space="0" w:color="000000"/>
              <w:right w:val="nil"/>
            </w:tcBorders>
          </w:tcPr>
          <w:p w14:paraId="00AF3DD1" w14:textId="77777777" w:rsidR="00E933CB" w:rsidRDefault="00E933CB">
            <w:pPr>
              <w:spacing w:after="160" w:line="259" w:lineRule="auto"/>
              <w:ind w:left="0" w:right="0" w:firstLine="0"/>
              <w:jc w:val="left"/>
            </w:pPr>
          </w:p>
        </w:tc>
        <w:tc>
          <w:tcPr>
            <w:tcW w:w="8507" w:type="dxa"/>
            <w:gridSpan w:val="2"/>
            <w:tcBorders>
              <w:top w:val="single" w:sz="4" w:space="0" w:color="000000"/>
              <w:left w:val="nil"/>
              <w:bottom w:val="single" w:sz="4" w:space="0" w:color="000000"/>
              <w:right w:val="single" w:sz="4" w:space="0" w:color="000000"/>
            </w:tcBorders>
          </w:tcPr>
          <w:p w14:paraId="5DE319DF" w14:textId="77777777" w:rsidR="004A3CD3" w:rsidRDefault="006C0598">
            <w:pPr>
              <w:spacing w:after="0" w:line="259" w:lineRule="auto"/>
              <w:ind w:left="226" w:right="0" w:firstLine="0"/>
              <w:jc w:val="left"/>
            </w:pPr>
            <w:r>
              <w:rPr>
                <w:b/>
                <w:sz w:val="40"/>
              </w:rPr>
              <w:t xml:space="preserve">H. </w:t>
            </w:r>
            <w:r>
              <w:rPr>
                <w:b/>
                <w:sz w:val="40"/>
                <w:u w:val="single" w:color="000000"/>
              </w:rPr>
              <w:t xml:space="preserve">International legal documentation </w:t>
            </w:r>
          </w:p>
        </w:tc>
      </w:tr>
      <w:tr w:rsidR="00E933CB" w14:paraId="26C767F5" w14:textId="77777777">
        <w:trPr>
          <w:trHeight w:val="348"/>
        </w:trPr>
        <w:tc>
          <w:tcPr>
            <w:tcW w:w="674" w:type="dxa"/>
            <w:tcBorders>
              <w:top w:val="single" w:sz="4" w:space="0" w:color="000000"/>
              <w:left w:val="single" w:sz="4" w:space="0" w:color="000000"/>
              <w:bottom w:val="single" w:sz="4" w:space="0" w:color="000000"/>
              <w:right w:val="nil"/>
            </w:tcBorders>
          </w:tcPr>
          <w:p w14:paraId="60F1BC2A" w14:textId="77777777" w:rsidR="00E933CB" w:rsidRDefault="00E933CB">
            <w:pPr>
              <w:spacing w:after="160" w:line="259" w:lineRule="auto"/>
              <w:ind w:left="0" w:right="0" w:firstLine="0"/>
              <w:jc w:val="left"/>
            </w:pPr>
          </w:p>
        </w:tc>
        <w:tc>
          <w:tcPr>
            <w:tcW w:w="8507" w:type="dxa"/>
            <w:gridSpan w:val="2"/>
            <w:tcBorders>
              <w:top w:val="single" w:sz="4" w:space="0" w:color="000000"/>
              <w:left w:val="nil"/>
              <w:bottom w:val="single" w:sz="4" w:space="0" w:color="000000"/>
              <w:right w:val="single" w:sz="4" w:space="0" w:color="000000"/>
            </w:tcBorders>
          </w:tcPr>
          <w:p w14:paraId="34CC9045" w14:textId="77777777" w:rsidR="004A3CD3" w:rsidRDefault="006C0598">
            <w:pPr>
              <w:spacing w:after="0" w:line="259" w:lineRule="auto"/>
              <w:ind w:left="0" w:right="756" w:firstLine="0"/>
              <w:jc w:val="center"/>
            </w:pPr>
            <w:r>
              <w:rPr>
                <w:b/>
                <w:sz w:val="24"/>
                <w:u w:val="single" w:color="000000"/>
              </w:rPr>
              <w:t xml:space="preserve">UNFCCC </w:t>
            </w:r>
          </w:p>
        </w:tc>
      </w:tr>
      <w:tr w:rsidR="00E933CB" w14:paraId="3FD9BE3B" w14:textId="77777777">
        <w:trPr>
          <w:trHeight w:val="317"/>
        </w:trPr>
        <w:tc>
          <w:tcPr>
            <w:tcW w:w="674" w:type="dxa"/>
            <w:tcBorders>
              <w:top w:val="single" w:sz="4" w:space="0" w:color="000000"/>
              <w:left w:val="single" w:sz="4" w:space="0" w:color="000000"/>
              <w:bottom w:val="single" w:sz="4" w:space="0" w:color="000000"/>
              <w:right w:val="single" w:sz="4" w:space="0" w:color="000000"/>
            </w:tcBorders>
          </w:tcPr>
          <w:p w14:paraId="4AEBE105" w14:textId="77777777" w:rsidR="00E933CB" w:rsidRDefault="00825B93">
            <w:pPr>
              <w:spacing w:after="0" w:line="259" w:lineRule="auto"/>
              <w:ind w:left="0" w:right="31"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56244D70" w14:textId="77777777" w:rsidR="004A3CD3" w:rsidRDefault="006C0598">
            <w:pPr>
              <w:spacing w:after="0" w:line="259" w:lineRule="auto"/>
              <w:ind w:left="0" w:right="0" w:firstLine="0"/>
              <w:jc w:val="left"/>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tcPr>
          <w:p w14:paraId="49BBAC9C" w14:textId="77777777" w:rsidR="004A3CD3" w:rsidRDefault="006C0598">
            <w:pPr>
              <w:spacing w:after="0" w:line="259" w:lineRule="auto"/>
              <w:ind w:left="0" w:right="0" w:firstLine="0"/>
              <w:jc w:val="left"/>
            </w:pPr>
            <w:r>
              <w:rPr>
                <w:b/>
              </w:rPr>
              <w:t xml:space="preserve">Description </w:t>
            </w:r>
          </w:p>
        </w:tc>
      </w:tr>
      <w:tr w:rsidR="00E933CB" w14:paraId="5E17ABA7"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1F63A3F2" w14:textId="77777777" w:rsidR="004A3CD3" w:rsidRDefault="006C0598">
            <w:pPr>
              <w:spacing w:after="0" w:line="259" w:lineRule="auto"/>
              <w:ind w:left="43" w:right="0" w:firstLine="0"/>
              <w:jc w:val="left"/>
            </w:pPr>
            <w:r>
              <w:rPr>
                <w:rFonts w:ascii="Century Gothic" w:eastAsia="Century Gothic" w:hAnsi="Century Gothic" w:cs="Century Gothic"/>
                <w:b/>
                <w:sz w:val="20"/>
              </w:rPr>
              <w:t xml:space="preserve">H.1 </w:t>
            </w:r>
          </w:p>
        </w:tc>
        <w:tc>
          <w:tcPr>
            <w:tcW w:w="1277" w:type="dxa"/>
            <w:tcBorders>
              <w:top w:val="single" w:sz="4" w:space="0" w:color="000000"/>
              <w:left w:val="single" w:sz="4" w:space="0" w:color="000000"/>
              <w:bottom w:val="single" w:sz="4" w:space="0" w:color="000000"/>
              <w:right w:val="single" w:sz="4" w:space="0" w:color="000000"/>
            </w:tcBorders>
          </w:tcPr>
          <w:p w14:paraId="4C952B78" w14:textId="77777777" w:rsidR="004A3CD3" w:rsidRDefault="006C0598">
            <w:pPr>
              <w:spacing w:after="0" w:line="259" w:lineRule="auto"/>
              <w:ind w:left="0" w:right="49" w:firstLine="0"/>
              <w:jc w:val="right"/>
            </w:pPr>
            <w:r>
              <w:t xml:space="preserve">1992 </w:t>
            </w:r>
          </w:p>
        </w:tc>
        <w:tc>
          <w:tcPr>
            <w:tcW w:w="7230" w:type="dxa"/>
            <w:tcBorders>
              <w:top w:val="single" w:sz="4" w:space="0" w:color="000000"/>
              <w:left w:val="single" w:sz="4" w:space="0" w:color="000000"/>
              <w:bottom w:val="single" w:sz="4" w:space="0" w:color="000000"/>
              <w:right w:val="single" w:sz="4" w:space="0" w:color="000000"/>
            </w:tcBorders>
          </w:tcPr>
          <w:p w14:paraId="11B1690C" w14:textId="77777777" w:rsidR="004A3CD3" w:rsidRDefault="006C0598">
            <w:pPr>
              <w:spacing w:after="0" w:line="259" w:lineRule="auto"/>
              <w:ind w:left="0" w:right="0" w:firstLine="0"/>
              <w:jc w:val="left"/>
            </w:pPr>
            <w:r>
              <w:t xml:space="preserve">United Nations Framework Convention on Climate Change </w:t>
            </w:r>
          </w:p>
        </w:tc>
      </w:tr>
      <w:tr w:rsidR="00E933CB" w14:paraId="65E089FC"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4D210BA5" w14:textId="77777777" w:rsidR="004A3CD3" w:rsidRDefault="006C0598">
            <w:pPr>
              <w:spacing w:after="0" w:line="259" w:lineRule="auto"/>
              <w:ind w:left="43" w:right="0" w:firstLine="0"/>
              <w:jc w:val="left"/>
            </w:pPr>
            <w:r>
              <w:rPr>
                <w:rFonts w:ascii="Century Gothic" w:eastAsia="Century Gothic" w:hAnsi="Century Gothic" w:cs="Century Gothic"/>
                <w:b/>
                <w:sz w:val="20"/>
              </w:rPr>
              <w:t xml:space="preserve">H.2 </w:t>
            </w:r>
          </w:p>
        </w:tc>
        <w:tc>
          <w:tcPr>
            <w:tcW w:w="1277" w:type="dxa"/>
            <w:tcBorders>
              <w:top w:val="single" w:sz="4" w:space="0" w:color="000000"/>
              <w:left w:val="single" w:sz="4" w:space="0" w:color="000000"/>
              <w:bottom w:val="single" w:sz="4" w:space="0" w:color="000000"/>
              <w:right w:val="single" w:sz="4" w:space="0" w:color="000000"/>
            </w:tcBorders>
          </w:tcPr>
          <w:p w14:paraId="07C89AF4" w14:textId="77777777" w:rsidR="004A3CD3" w:rsidRDefault="006C0598">
            <w:pPr>
              <w:spacing w:after="0" w:line="259" w:lineRule="auto"/>
              <w:ind w:left="0" w:right="49" w:firstLine="0"/>
              <w:jc w:val="right"/>
            </w:pPr>
            <w:r>
              <w:t xml:space="preserve">1995 </w:t>
            </w:r>
          </w:p>
        </w:tc>
        <w:tc>
          <w:tcPr>
            <w:tcW w:w="7230" w:type="dxa"/>
            <w:tcBorders>
              <w:top w:val="single" w:sz="4" w:space="0" w:color="000000"/>
              <w:left w:val="single" w:sz="4" w:space="0" w:color="000000"/>
              <w:bottom w:val="single" w:sz="4" w:space="0" w:color="000000"/>
              <w:right w:val="single" w:sz="4" w:space="0" w:color="000000"/>
            </w:tcBorders>
          </w:tcPr>
          <w:p w14:paraId="35ED263C" w14:textId="77777777" w:rsidR="004A3CD3" w:rsidRDefault="006C0598">
            <w:pPr>
              <w:spacing w:after="0" w:line="259" w:lineRule="auto"/>
              <w:ind w:left="0" w:right="0" w:firstLine="0"/>
              <w:jc w:val="left"/>
            </w:pPr>
            <w:r>
              <w:t xml:space="preserve">Berlin - Decision 3/CP.1 </w:t>
            </w:r>
          </w:p>
        </w:tc>
      </w:tr>
      <w:tr w:rsidR="00E933CB" w14:paraId="445F704D"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721A7F9B" w14:textId="77777777" w:rsidR="004A3CD3" w:rsidRDefault="006C0598">
            <w:pPr>
              <w:spacing w:after="0" w:line="259" w:lineRule="auto"/>
              <w:ind w:left="43" w:right="0" w:firstLine="0"/>
              <w:jc w:val="left"/>
            </w:pPr>
            <w:r>
              <w:rPr>
                <w:rFonts w:ascii="Century Gothic" w:eastAsia="Century Gothic" w:hAnsi="Century Gothic" w:cs="Century Gothic"/>
                <w:b/>
                <w:sz w:val="20"/>
              </w:rPr>
              <w:t xml:space="preserve">H.3 </w:t>
            </w:r>
          </w:p>
        </w:tc>
        <w:tc>
          <w:tcPr>
            <w:tcW w:w="1277" w:type="dxa"/>
            <w:tcBorders>
              <w:top w:val="single" w:sz="4" w:space="0" w:color="000000"/>
              <w:left w:val="single" w:sz="4" w:space="0" w:color="000000"/>
              <w:bottom w:val="single" w:sz="4" w:space="0" w:color="000000"/>
              <w:right w:val="single" w:sz="4" w:space="0" w:color="000000"/>
            </w:tcBorders>
          </w:tcPr>
          <w:p w14:paraId="7D9E4F32" w14:textId="77777777" w:rsidR="004A3CD3" w:rsidRDefault="006C0598">
            <w:pPr>
              <w:spacing w:after="0" w:line="259" w:lineRule="auto"/>
              <w:ind w:left="0" w:right="49" w:firstLine="0"/>
              <w:jc w:val="right"/>
            </w:pPr>
            <w:r>
              <w:t xml:space="preserve">1997 </w:t>
            </w:r>
          </w:p>
        </w:tc>
        <w:tc>
          <w:tcPr>
            <w:tcW w:w="7230" w:type="dxa"/>
            <w:tcBorders>
              <w:top w:val="single" w:sz="4" w:space="0" w:color="000000"/>
              <w:left w:val="single" w:sz="4" w:space="0" w:color="000000"/>
              <w:bottom w:val="single" w:sz="4" w:space="0" w:color="000000"/>
              <w:right w:val="single" w:sz="4" w:space="0" w:color="000000"/>
            </w:tcBorders>
          </w:tcPr>
          <w:p w14:paraId="3D5134F7" w14:textId="77777777" w:rsidR="004A3CD3" w:rsidRDefault="006C0598">
            <w:pPr>
              <w:spacing w:after="19" w:line="259" w:lineRule="auto"/>
              <w:ind w:left="0" w:right="0" w:firstLine="0"/>
              <w:jc w:val="left"/>
            </w:pPr>
            <w:r>
              <w:t xml:space="preserve">Kyoto Protocol to the United Nations Framework Convention on Climate Change </w:t>
            </w:r>
          </w:p>
          <w:p w14:paraId="6F69AEAF" w14:textId="77777777" w:rsidR="004A3CD3" w:rsidRDefault="006C0598">
            <w:pPr>
              <w:spacing w:after="0" w:line="259" w:lineRule="auto"/>
              <w:ind w:left="0" w:right="0" w:firstLine="0"/>
              <w:jc w:val="left"/>
            </w:pPr>
            <w:r>
              <w:t xml:space="preserve">Climate Change </w:t>
            </w:r>
          </w:p>
        </w:tc>
      </w:tr>
      <w:tr w:rsidR="00E933CB" w14:paraId="11962528"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1C641636" w14:textId="77777777" w:rsidR="004A3CD3" w:rsidRDefault="006C0598">
            <w:pPr>
              <w:spacing w:after="0" w:line="259" w:lineRule="auto"/>
              <w:ind w:left="43" w:right="0" w:firstLine="0"/>
              <w:jc w:val="left"/>
            </w:pPr>
            <w:r>
              <w:rPr>
                <w:rFonts w:ascii="Century Gothic" w:eastAsia="Century Gothic" w:hAnsi="Century Gothic" w:cs="Century Gothic"/>
                <w:b/>
                <w:sz w:val="20"/>
              </w:rPr>
              <w:t xml:space="preserve">H.4 </w:t>
            </w:r>
          </w:p>
        </w:tc>
        <w:tc>
          <w:tcPr>
            <w:tcW w:w="1277" w:type="dxa"/>
            <w:tcBorders>
              <w:top w:val="single" w:sz="4" w:space="0" w:color="000000"/>
              <w:left w:val="single" w:sz="4" w:space="0" w:color="000000"/>
              <w:bottom w:val="single" w:sz="4" w:space="0" w:color="000000"/>
              <w:right w:val="single" w:sz="4" w:space="0" w:color="000000"/>
            </w:tcBorders>
          </w:tcPr>
          <w:p w14:paraId="46B4E019" w14:textId="77777777" w:rsidR="004A3CD3" w:rsidRDefault="006C0598">
            <w:pPr>
              <w:spacing w:after="0" w:line="259" w:lineRule="auto"/>
              <w:ind w:left="0" w:right="49" w:firstLine="0"/>
              <w:jc w:val="right"/>
            </w:pPr>
            <w:r>
              <w:t xml:space="preserve">1999 </w:t>
            </w:r>
          </w:p>
        </w:tc>
        <w:tc>
          <w:tcPr>
            <w:tcW w:w="7230" w:type="dxa"/>
            <w:tcBorders>
              <w:top w:val="single" w:sz="4" w:space="0" w:color="000000"/>
              <w:left w:val="single" w:sz="4" w:space="0" w:color="000000"/>
              <w:bottom w:val="single" w:sz="4" w:space="0" w:color="000000"/>
              <w:right w:val="single" w:sz="4" w:space="0" w:color="000000"/>
            </w:tcBorders>
          </w:tcPr>
          <w:p w14:paraId="2405E7B1" w14:textId="77777777" w:rsidR="004A3CD3" w:rsidRDefault="006C0598">
            <w:pPr>
              <w:spacing w:after="0" w:line="259" w:lineRule="auto"/>
              <w:ind w:left="0" w:right="0" w:firstLine="0"/>
              <w:jc w:val="left"/>
            </w:pPr>
            <w:r>
              <w:t xml:space="preserve">Bonn - Decision 3/CP.5 </w:t>
            </w:r>
          </w:p>
        </w:tc>
      </w:tr>
      <w:tr w:rsidR="00E933CB" w14:paraId="2A389B16" w14:textId="77777777">
        <w:trPr>
          <w:trHeight w:val="317"/>
        </w:trPr>
        <w:tc>
          <w:tcPr>
            <w:tcW w:w="674" w:type="dxa"/>
            <w:tcBorders>
              <w:top w:val="single" w:sz="4" w:space="0" w:color="000000"/>
              <w:left w:val="single" w:sz="4" w:space="0" w:color="000000"/>
              <w:bottom w:val="single" w:sz="4" w:space="0" w:color="000000"/>
              <w:right w:val="single" w:sz="4" w:space="0" w:color="000000"/>
            </w:tcBorders>
          </w:tcPr>
          <w:p w14:paraId="481C1751" w14:textId="77777777" w:rsidR="004A3CD3" w:rsidRDefault="006C0598">
            <w:pPr>
              <w:spacing w:after="0" w:line="259" w:lineRule="auto"/>
              <w:ind w:left="43" w:right="0" w:firstLine="0"/>
              <w:jc w:val="left"/>
            </w:pPr>
            <w:r>
              <w:rPr>
                <w:rFonts w:ascii="Century Gothic" w:eastAsia="Century Gothic" w:hAnsi="Century Gothic" w:cs="Century Gothic"/>
                <w:b/>
                <w:sz w:val="20"/>
              </w:rPr>
              <w:t xml:space="preserve">H.5 </w:t>
            </w:r>
          </w:p>
        </w:tc>
        <w:tc>
          <w:tcPr>
            <w:tcW w:w="1277" w:type="dxa"/>
            <w:tcBorders>
              <w:top w:val="single" w:sz="4" w:space="0" w:color="000000"/>
              <w:left w:val="single" w:sz="4" w:space="0" w:color="000000"/>
              <w:bottom w:val="single" w:sz="4" w:space="0" w:color="000000"/>
              <w:right w:val="single" w:sz="4" w:space="0" w:color="000000"/>
            </w:tcBorders>
          </w:tcPr>
          <w:p w14:paraId="78B76992" w14:textId="77777777" w:rsidR="004A3CD3" w:rsidRDefault="006C0598">
            <w:pPr>
              <w:spacing w:after="0" w:line="259" w:lineRule="auto"/>
              <w:ind w:left="0" w:right="49" w:firstLine="0"/>
              <w:jc w:val="right"/>
            </w:pPr>
            <w:r>
              <w:t xml:space="preserve">2007 </w:t>
            </w:r>
          </w:p>
        </w:tc>
        <w:tc>
          <w:tcPr>
            <w:tcW w:w="7230" w:type="dxa"/>
            <w:tcBorders>
              <w:top w:val="single" w:sz="4" w:space="0" w:color="000000"/>
              <w:left w:val="single" w:sz="4" w:space="0" w:color="000000"/>
              <w:bottom w:val="single" w:sz="4" w:space="0" w:color="000000"/>
              <w:right w:val="single" w:sz="4" w:space="0" w:color="000000"/>
            </w:tcBorders>
          </w:tcPr>
          <w:p w14:paraId="2F59FC81" w14:textId="77777777" w:rsidR="004A3CD3" w:rsidRDefault="006C0598">
            <w:pPr>
              <w:spacing w:after="0" w:line="259" w:lineRule="auto"/>
              <w:ind w:left="0" w:right="0" w:firstLine="0"/>
              <w:jc w:val="left"/>
            </w:pPr>
            <w:r>
              <w:t xml:space="preserve">Bali Action Plan - Decision 1/CP.13 </w:t>
            </w:r>
          </w:p>
        </w:tc>
      </w:tr>
      <w:tr w:rsidR="00E933CB" w14:paraId="0F2021F0" w14:textId="77777777">
        <w:trPr>
          <w:trHeight w:val="938"/>
        </w:trPr>
        <w:tc>
          <w:tcPr>
            <w:tcW w:w="674" w:type="dxa"/>
            <w:tcBorders>
              <w:top w:val="single" w:sz="4" w:space="0" w:color="000000"/>
              <w:left w:val="single" w:sz="4" w:space="0" w:color="000000"/>
              <w:bottom w:val="single" w:sz="4" w:space="0" w:color="000000"/>
              <w:right w:val="single" w:sz="4" w:space="0" w:color="000000"/>
            </w:tcBorders>
          </w:tcPr>
          <w:p w14:paraId="58A253A3" w14:textId="77777777" w:rsidR="004A3CD3" w:rsidRDefault="006C0598">
            <w:pPr>
              <w:spacing w:after="0" w:line="259" w:lineRule="auto"/>
              <w:ind w:left="43" w:right="0" w:firstLine="0"/>
              <w:jc w:val="left"/>
            </w:pPr>
            <w:r>
              <w:rPr>
                <w:rFonts w:ascii="Century Gothic" w:eastAsia="Century Gothic" w:hAnsi="Century Gothic" w:cs="Century Gothic"/>
                <w:b/>
                <w:sz w:val="20"/>
              </w:rPr>
              <w:t xml:space="preserve">H.6 </w:t>
            </w:r>
          </w:p>
        </w:tc>
        <w:tc>
          <w:tcPr>
            <w:tcW w:w="1277" w:type="dxa"/>
            <w:tcBorders>
              <w:top w:val="single" w:sz="4" w:space="0" w:color="000000"/>
              <w:left w:val="single" w:sz="4" w:space="0" w:color="000000"/>
              <w:bottom w:val="single" w:sz="4" w:space="0" w:color="000000"/>
              <w:right w:val="single" w:sz="4" w:space="0" w:color="000000"/>
            </w:tcBorders>
          </w:tcPr>
          <w:p w14:paraId="666F7A57" w14:textId="77777777" w:rsidR="004A3CD3" w:rsidRDefault="006C0598">
            <w:pPr>
              <w:spacing w:after="0" w:line="259" w:lineRule="auto"/>
              <w:ind w:left="0" w:right="49" w:firstLine="0"/>
              <w:jc w:val="right"/>
            </w:pPr>
            <w:r>
              <w:t xml:space="preserve">2007 </w:t>
            </w:r>
          </w:p>
        </w:tc>
        <w:tc>
          <w:tcPr>
            <w:tcW w:w="7230" w:type="dxa"/>
            <w:tcBorders>
              <w:top w:val="single" w:sz="4" w:space="0" w:color="000000"/>
              <w:left w:val="single" w:sz="4" w:space="0" w:color="000000"/>
              <w:bottom w:val="single" w:sz="4" w:space="0" w:color="000000"/>
              <w:right w:val="single" w:sz="4" w:space="0" w:color="000000"/>
            </w:tcBorders>
          </w:tcPr>
          <w:p w14:paraId="5DB54B8C" w14:textId="77777777" w:rsidR="004A3CD3" w:rsidRDefault="006C0598">
            <w:pPr>
              <w:spacing w:after="0" w:line="259" w:lineRule="auto"/>
              <w:ind w:left="0" w:right="80" w:firstLine="0"/>
            </w:pPr>
            <w:r>
              <w:t xml:space="preserve">Report of the Ad Hoc Working Group on Further Commitments for Annex I Parties under the Kyoto Protocol on its fourth session, held in Vienna from 27 to 31 August 2007 </w:t>
            </w:r>
          </w:p>
        </w:tc>
      </w:tr>
      <w:tr w:rsidR="00E933CB" w14:paraId="64B14117" w14:textId="77777777">
        <w:trPr>
          <w:trHeight w:val="317"/>
        </w:trPr>
        <w:tc>
          <w:tcPr>
            <w:tcW w:w="674" w:type="dxa"/>
            <w:tcBorders>
              <w:top w:val="single" w:sz="4" w:space="0" w:color="000000"/>
              <w:left w:val="single" w:sz="4" w:space="0" w:color="000000"/>
              <w:bottom w:val="single" w:sz="4" w:space="0" w:color="000000"/>
              <w:right w:val="single" w:sz="4" w:space="0" w:color="000000"/>
            </w:tcBorders>
          </w:tcPr>
          <w:p w14:paraId="5EC2B320" w14:textId="77777777" w:rsidR="004A3CD3" w:rsidRDefault="006C0598">
            <w:pPr>
              <w:spacing w:after="0" w:line="259" w:lineRule="auto"/>
              <w:ind w:left="43" w:right="0" w:firstLine="0"/>
              <w:jc w:val="left"/>
            </w:pPr>
            <w:r>
              <w:rPr>
                <w:rFonts w:ascii="Century Gothic" w:eastAsia="Century Gothic" w:hAnsi="Century Gothic" w:cs="Century Gothic"/>
                <w:b/>
                <w:sz w:val="20"/>
              </w:rPr>
              <w:t xml:space="preserve">H.7 </w:t>
            </w:r>
          </w:p>
        </w:tc>
        <w:tc>
          <w:tcPr>
            <w:tcW w:w="1277" w:type="dxa"/>
            <w:tcBorders>
              <w:top w:val="single" w:sz="4" w:space="0" w:color="000000"/>
              <w:left w:val="single" w:sz="4" w:space="0" w:color="000000"/>
              <w:bottom w:val="single" w:sz="4" w:space="0" w:color="000000"/>
              <w:right w:val="single" w:sz="4" w:space="0" w:color="000000"/>
            </w:tcBorders>
          </w:tcPr>
          <w:p w14:paraId="6E5EC2A4" w14:textId="77777777" w:rsidR="004A3CD3" w:rsidRDefault="006C0598">
            <w:pPr>
              <w:spacing w:after="0" w:line="259" w:lineRule="auto"/>
              <w:ind w:left="0" w:right="49"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445DFC9F" w14:textId="77777777" w:rsidR="004A3CD3" w:rsidRDefault="006C0598">
            <w:pPr>
              <w:spacing w:after="0" w:line="259" w:lineRule="auto"/>
              <w:ind w:left="0" w:right="0" w:firstLine="0"/>
              <w:jc w:val="left"/>
            </w:pPr>
            <w:r>
              <w:t xml:space="preserve">Copenhagen Accord - Decision 1/CP.15 </w:t>
            </w:r>
          </w:p>
        </w:tc>
      </w:tr>
      <w:tr w:rsidR="00E933CB" w14:paraId="2A484C32" w14:textId="77777777">
        <w:trPr>
          <w:trHeight w:val="938"/>
        </w:trPr>
        <w:tc>
          <w:tcPr>
            <w:tcW w:w="674" w:type="dxa"/>
            <w:tcBorders>
              <w:top w:val="single" w:sz="4" w:space="0" w:color="000000"/>
              <w:left w:val="single" w:sz="4" w:space="0" w:color="000000"/>
              <w:bottom w:val="single" w:sz="4" w:space="0" w:color="000000"/>
              <w:right w:val="single" w:sz="4" w:space="0" w:color="000000"/>
            </w:tcBorders>
          </w:tcPr>
          <w:p w14:paraId="7F1B0DAE" w14:textId="77777777" w:rsidR="004A3CD3" w:rsidRDefault="006C0598">
            <w:pPr>
              <w:spacing w:after="0" w:line="259" w:lineRule="auto"/>
              <w:ind w:left="43" w:right="0" w:firstLine="0"/>
              <w:jc w:val="left"/>
            </w:pPr>
            <w:r>
              <w:rPr>
                <w:rFonts w:ascii="Century Gothic" w:eastAsia="Century Gothic" w:hAnsi="Century Gothic" w:cs="Century Gothic"/>
                <w:b/>
                <w:sz w:val="20"/>
              </w:rPr>
              <w:t xml:space="preserve">H.8 </w:t>
            </w:r>
          </w:p>
        </w:tc>
        <w:tc>
          <w:tcPr>
            <w:tcW w:w="1277" w:type="dxa"/>
            <w:tcBorders>
              <w:top w:val="single" w:sz="4" w:space="0" w:color="000000"/>
              <w:left w:val="single" w:sz="4" w:space="0" w:color="000000"/>
              <w:bottom w:val="single" w:sz="4" w:space="0" w:color="000000"/>
              <w:right w:val="single" w:sz="4" w:space="0" w:color="000000"/>
            </w:tcBorders>
          </w:tcPr>
          <w:p w14:paraId="4BE8D5DB" w14:textId="77777777" w:rsidR="004A3CD3" w:rsidRDefault="006C0598">
            <w:pPr>
              <w:spacing w:after="0" w:line="259" w:lineRule="auto"/>
              <w:ind w:left="0" w:right="49"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3E60FFF6" w14:textId="77777777" w:rsidR="004A3CD3" w:rsidRDefault="006C0598">
            <w:pPr>
              <w:spacing w:after="0" w:line="259" w:lineRule="auto"/>
              <w:ind w:left="0" w:right="81" w:firstLine="0"/>
            </w:pPr>
            <w:r>
              <w:t xml:space="preserve">Report of the Ad Hoc Working Group on Further Commitments for Annex I Parties under the Kyoto Protocol on its seventh session, held in Bonn from 29 March to 8 April 2009 </w:t>
            </w:r>
          </w:p>
        </w:tc>
      </w:tr>
      <w:tr w:rsidR="00E933CB" w14:paraId="4353F4F7"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329FED1C" w14:textId="77777777" w:rsidR="004A3CD3" w:rsidRDefault="006C0598">
            <w:pPr>
              <w:spacing w:after="0" w:line="259" w:lineRule="auto"/>
              <w:ind w:left="43" w:right="0" w:firstLine="0"/>
              <w:jc w:val="left"/>
            </w:pPr>
            <w:r>
              <w:rPr>
                <w:rFonts w:ascii="Century Gothic" w:eastAsia="Century Gothic" w:hAnsi="Century Gothic" w:cs="Century Gothic"/>
                <w:b/>
                <w:sz w:val="20"/>
              </w:rPr>
              <w:t xml:space="preserve">H.9 </w:t>
            </w:r>
          </w:p>
        </w:tc>
        <w:tc>
          <w:tcPr>
            <w:tcW w:w="1277" w:type="dxa"/>
            <w:tcBorders>
              <w:top w:val="single" w:sz="4" w:space="0" w:color="000000"/>
              <w:left w:val="single" w:sz="4" w:space="0" w:color="000000"/>
              <w:bottom w:val="single" w:sz="4" w:space="0" w:color="000000"/>
              <w:right w:val="single" w:sz="4" w:space="0" w:color="000000"/>
            </w:tcBorders>
          </w:tcPr>
          <w:p w14:paraId="3C5827EF" w14:textId="77777777" w:rsidR="004A3CD3" w:rsidRDefault="006C0598">
            <w:pPr>
              <w:spacing w:after="0" w:line="259" w:lineRule="auto"/>
              <w:ind w:left="0" w:right="49" w:firstLine="0"/>
              <w:jc w:val="right"/>
            </w:pPr>
            <w:r>
              <w:t xml:space="preserve">2010 </w:t>
            </w:r>
          </w:p>
        </w:tc>
        <w:tc>
          <w:tcPr>
            <w:tcW w:w="7230" w:type="dxa"/>
            <w:tcBorders>
              <w:top w:val="single" w:sz="4" w:space="0" w:color="000000"/>
              <w:left w:val="single" w:sz="4" w:space="0" w:color="000000"/>
              <w:bottom w:val="single" w:sz="4" w:space="0" w:color="000000"/>
              <w:right w:val="single" w:sz="4" w:space="0" w:color="000000"/>
            </w:tcBorders>
          </w:tcPr>
          <w:p w14:paraId="1D00D0B8" w14:textId="77777777" w:rsidR="004A3CD3" w:rsidRDefault="006C0598">
            <w:pPr>
              <w:spacing w:after="0" w:line="259" w:lineRule="auto"/>
              <w:ind w:left="0" w:right="0" w:firstLine="0"/>
              <w:jc w:val="left"/>
            </w:pPr>
            <w:r>
              <w:t xml:space="preserve">The Cancun Agreements - Decision 1/CP.16 </w:t>
            </w:r>
          </w:p>
        </w:tc>
      </w:tr>
      <w:tr w:rsidR="00E933CB" w14:paraId="0D395B91" w14:textId="77777777">
        <w:trPr>
          <w:trHeight w:val="317"/>
        </w:trPr>
        <w:tc>
          <w:tcPr>
            <w:tcW w:w="674" w:type="dxa"/>
            <w:tcBorders>
              <w:top w:val="single" w:sz="4" w:space="0" w:color="000000"/>
              <w:left w:val="single" w:sz="4" w:space="0" w:color="000000"/>
              <w:bottom w:val="single" w:sz="4" w:space="0" w:color="000000"/>
              <w:right w:val="single" w:sz="4" w:space="0" w:color="000000"/>
            </w:tcBorders>
          </w:tcPr>
          <w:p w14:paraId="06E98492"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H.10 </w:t>
            </w:r>
          </w:p>
        </w:tc>
        <w:tc>
          <w:tcPr>
            <w:tcW w:w="1277" w:type="dxa"/>
            <w:tcBorders>
              <w:top w:val="single" w:sz="4" w:space="0" w:color="000000"/>
              <w:left w:val="single" w:sz="4" w:space="0" w:color="000000"/>
              <w:bottom w:val="single" w:sz="4" w:space="0" w:color="000000"/>
              <w:right w:val="single" w:sz="4" w:space="0" w:color="000000"/>
            </w:tcBorders>
          </w:tcPr>
          <w:p w14:paraId="478F8A8A" w14:textId="77777777" w:rsidR="004A3CD3" w:rsidRDefault="006C0598">
            <w:pPr>
              <w:spacing w:after="0" w:line="259" w:lineRule="auto"/>
              <w:ind w:left="0" w:right="49" w:firstLine="0"/>
              <w:jc w:val="right"/>
            </w:pPr>
            <w:r>
              <w:t xml:space="preserve">2010 </w:t>
            </w:r>
          </w:p>
        </w:tc>
        <w:tc>
          <w:tcPr>
            <w:tcW w:w="7230" w:type="dxa"/>
            <w:tcBorders>
              <w:top w:val="single" w:sz="4" w:space="0" w:color="000000"/>
              <w:left w:val="single" w:sz="4" w:space="0" w:color="000000"/>
              <w:bottom w:val="single" w:sz="4" w:space="0" w:color="000000"/>
              <w:right w:val="single" w:sz="4" w:space="0" w:color="000000"/>
            </w:tcBorders>
          </w:tcPr>
          <w:p w14:paraId="68C29E22" w14:textId="77777777" w:rsidR="004A3CD3" w:rsidRDefault="006C0598">
            <w:pPr>
              <w:spacing w:after="0" w:line="259" w:lineRule="auto"/>
              <w:ind w:left="0" w:right="0" w:firstLine="0"/>
              <w:jc w:val="left"/>
            </w:pPr>
            <w:r>
              <w:t xml:space="preserve">Cancun - Decision 9/CP.16 </w:t>
            </w:r>
          </w:p>
        </w:tc>
      </w:tr>
      <w:tr w:rsidR="00E933CB" w14:paraId="5F8CA10C" w14:textId="77777777">
        <w:trPr>
          <w:trHeight w:val="320"/>
        </w:trPr>
        <w:tc>
          <w:tcPr>
            <w:tcW w:w="674" w:type="dxa"/>
            <w:tcBorders>
              <w:top w:val="single" w:sz="4" w:space="0" w:color="000000"/>
              <w:left w:val="single" w:sz="4" w:space="0" w:color="000000"/>
              <w:bottom w:val="single" w:sz="4" w:space="0" w:color="000000"/>
              <w:right w:val="single" w:sz="4" w:space="0" w:color="000000"/>
            </w:tcBorders>
          </w:tcPr>
          <w:p w14:paraId="6C7A7BA7"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H.11 </w:t>
            </w:r>
          </w:p>
        </w:tc>
        <w:tc>
          <w:tcPr>
            <w:tcW w:w="1277" w:type="dxa"/>
            <w:tcBorders>
              <w:top w:val="single" w:sz="4" w:space="0" w:color="000000"/>
              <w:left w:val="single" w:sz="4" w:space="0" w:color="000000"/>
              <w:bottom w:val="single" w:sz="4" w:space="0" w:color="000000"/>
              <w:right w:val="single" w:sz="4" w:space="0" w:color="000000"/>
            </w:tcBorders>
          </w:tcPr>
          <w:p w14:paraId="31E6956D" w14:textId="77777777" w:rsidR="004A3CD3" w:rsidRDefault="006C0598">
            <w:pPr>
              <w:spacing w:after="0" w:line="259" w:lineRule="auto"/>
              <w:ind w:left="0" w:right="49" w:firstLine="0"/>
              <w:jc w:val="right"/>
            </w:pPr>
            <w:r>
              <w:t xml:space="preserve">2010 </w:t>
            </w:r>
          </w:p>
        </w:tc>
        <w:tc>
          <w:tcPr>
            <w:tcW w:w="7230" w:type="dxa"/>
            <w:tcBorders>
              <w:top w:val="single" w:sz="4" w:space="0" w:color="000000"/>
              <w:left w:val="single" w:sz="4" w:space="0" w:color="000000"/>
              <w:bottom w:val="single" w:sz="4" w:space="0" w:color="000000"/>
              <w:right w:val="single" w:sz="4" w:space="0" w:color="000000"/>
            </w:tcBorders>
          </w:tcPr>
          <w:p w14:paraId="75FF55D4" w14:textId="77777777" w:rsidR="004A3CD3" w:rsidRDefault="006C0598">
            <w:pPr>
              <w:spacing w:after="0" w:line="259" w:lineRule="auto"/>
              <w:ind w:left="0" w:right="0" w:firstLine="0"/>
              <w:jc w:val="left"/>
            </w:pPr>
            <w:r>
              <w:t xml:space="preserve">The Cancun Agreements - Decision 1/CMP.6 </w:t>
            </w:r>
          </w:p>
        </w:tc>
      </w:tr>
      <w:tr w:rsidR="00E933CB" w14:paraId="19471E5D"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310B2D17"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H.12 </w:t>
            </w:r>
          </w:p>
        </w:tc>
        <w:tc>
          <w:tcPr>
            <w:tcW w:w="1277" w:type="dxa"/>
            <w:tcBorders>
              <w:top w:val="single" w:sz="4" w:space="0" w:color="000000"/>
              <w:left w:val="single" w:sz="4" w:space="0" w:color="000000"/>
              <w:bottom w:val="single" w:sz="4" w:space="0" w:color="000000"/>
              <w:right w:val="single" w:sz="4" w:space="0" w:color="000000"/>
            </w:tcBorders>
          </w:tcPr>
          <w:p w14:paraId="14CD9C22" w14:textId="77777777" w:rsidR="004A3CD3" w:rsidRDefault="006C0598">
            <w:pPr>
              <w:spacing w:after="0" w:line="259" w:lineRule="auto"/>
              <w:ind w:left="0" w:right="49" w:firstLine="0"/>
              <w:jc w:val="right"/>
            </w:pPr>
            <w:r>
              <w:t xml:space="preserve">2011 </w:t>
            </w:r>
          </w:p>
        </w:tc>
        <w:tc>
          <w:tcPr>
            <w:tcW w:w="7230" w:type="dxa"/>
            <w:tcBorders>
              <w:top w:val="single" w:sz="4" w:space="0" w:color="000000"/>
              <w:left w:val="single" w:sz="4" w:space="0" w:color="000000"/>
              <w:bottom w:val="single" w:sz="4" w:space="0" w:color="000000"/>
              <w:right w:val="single" w:sz="4" w:space="0" w:color="000000"/>
            </w:tcBorders>
          </w:tcPr>
          <w:p w14:paraId="2EEB707C" w14:textId="77777777" w:rsidR="004A3CD3" w:rsidRDefault="006C0598">
            <w:pPr>
              <w:spacing w:after="0" w:line="259" w:lineRule="auto"/>
              <w:ind w:left="0" w:right="0" w:firstLine="0"/>
              <w:jc w:val="left"/>
            </w:pPr>
            <w:r>
              <w:t xml:space="preserve">Durban - Decision 1/CP.17  </w:t>
            </w:r>
          </w:p>
        </w:tc>
      </w:tr>
      <w:tr w:rsidR="00E933CB" w14:paraId="484BF770"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58649D0A"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H.13 </w:t>
            </w:r>
          </w:p>
        </w:tc>
        <w:tc>
          <w:tcPr>
            <w:tcW w:w="1277" w:type="dxa"/>
            <w:tcBorders>
              <w:top w:val="single" w:sz="4" w:space="0" w:color="000000"/>
              <w:left w:val="single" w:sz="4" w:space="0" w:color="000000"/>
              <w:bottom w:val="single" w:sz="4" w:space="0" w:color="000000"/>
              <w:right w:val="single" w:sz="4" w:space="0" w:color="000000"/>
            </w:tcBorders>
          </w:tcPr>
          <w:p w14:paraId="26E97EDF" w14:textId="77777777" w:rsidR="004A3CD3" w:rsidRDefault="006C0598">
            <w:pPr>
              <w:spacing w:after="0" w:line="259" w:lineRule="auto"/>
              <w:ind w:left="0" w:right="49" w:firstLine="0"/>
              <w:jc w:val="right"/>
            </w:pPr>
            <w:r>
              <w:t xml:space="preserve">2011 </w:t>
            </w:r>
          </w:p>
        </w:tc>
        <w:tc>
          <w:tcPr>
            <w:tcW w:w="7230" w:type="dxa"/>
            <w:tcBorders>
              <w:top w:val="single" w:sz="4" w:space="0" w:color="000000"/>
              <w:left w:val="single" w:sz="4" w:space="0" w:color="000000"/>
              <w:bottom w:val="single" w:sz="4" w:space="0" w:color="000000"/>
              <w:right w:val="single" w:sz="4" w:space="0" w:color="000000"/>
            </w:tcBorders>
          </w:tcPr>
          <w:p w14:paraId="66B4FC9D" w14:textId="77777777" w:rsidR="004A3CD3" w:rsidRDefault="006C0598">
            <w:pPr>
              <w:spacing w:after="0" w:line="259" w:lineRule="auto"/>
              <w:ind w:left="0" w:right="0" w:firstLine="0"/>
              <w:jc w:val="left"/>
            </w:pPr>
            <w:r>
              <w:t xml:space="preserve">Durban - Decision 2/CP.17 </w:t>
            </w:r>
          </w:p>
        </w:tc>
      </w:tr>
      <w:tr w:rsidR="00E933CB" w14:paraId="653570AD"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25606CD0"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H.14 </w:t>
            </w:r>
          </w:p>
        </w:tc>
        <w:tc>
          <w:tcPr>
            <w:tcW w:w="1277" w:type="dxa"/>
            <w:tcBorders>
              <w:top w:val="single" w:sz="4" w:space="0" w:color="000000"/>
              <w:left w:val="single" w:sz="4" w:space="0" w:color="000000"/>
              <w:bottom w:val="single" w:sz="4" w:space="0" w:color="000000"/>
              <w:right w:val="single" w:sz="4" w:space="0" w:color="000000"/>
            </w:tcBorders>
          </w:tcPr>
          <w:p w14:paraId="7F3B3B54" w14:textId="77777777" w:rsidR="004A3CD3" w:rsidRDefault="006C0598">
            <w:pPr>
              <w:spacing w:after="0" w:line="259" w:lineRule="auto"/>
              <w:ind w:left="0" w:right="49" w:firstLine="0"/>
              <w:jc w:val="right"/>
            </w:pPr>
            <w:r>
              <w:t xml:space="preserve">2011 </w:t>
            </w:r>
          </w:p>
        </w:tc>
        <w:tc>
          <w:tcPr>
            <w:tcW w:w="7230" w:type="dxa"/>
            <w:tcBorders>
              <w:top w:val="single" w:sz="4" w:space="0" w:color="000000"/>
              <w:left w:val="single" w:sz="4" w:space="0" w:color="000000"/>
              <w:bottom w:val="single" w:sz="4" w:space="0" w:color="000000"/>
              <w:right w:val="single" w:sz="4" w:space="0" w:color="000000"/>
            </w:tcBorders>
          </w:tcPr>
          <w:p w14:paraId="1E600891" w14:textId="77777777" w:rsidR="004A3CD3" w:rsidRDefault="006C0598">
            <w:pPr>
              <w:spacing w:after="0" w:line="259" w:lineRule="auto"/>
              <w:ind w:left="0" w:right="0" w:firstLine="0"/>
              <w:jc w:val="left"/>
            </w:pPr>
            <w:r>
              <w:t xml:space="preserve">Durban - Decision 1/CMP.7 </w:t>
            </w:r>
          </w:p>
        </w:tc>
      </w:tr>
      <w:tr w:rsidR="00E933CB" w14:paraId="61532629"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4E307A0F"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H.15 </w:t>
            </w:r>
          </w:p>
        </w:tc>
        <w:tc>
          <w:tcPr>
            <w:tcW w:w="1277" w:type="dxa"/>
            <w:tcBorders>
              <w:top w:val="single" w:sz="4" w:space="0" w:color="000000"/>
              <w:left w:val="single" w:sz="4" w:space="0" w:color="000000"/>
              <w:bottom w:val="single" w:sz="4" w:space="0" w:color="000000"/>
              <w:right w:val="single" w:sz="4" w:space="0" w:color="000000"/>
            </w:tcBorders>
          </w:tcPr>
          <w:p w14:paraId="34C769CA" w14:textId="77777777" w:rsidR="004A3CD3" w:rsidRDefault="006C0598">
            <w:pPr>
              <w:spacing w:after="0" w:line="259" w:lineRule="auto"/>
              <w:ind w:left="0" w:right="49" w:firstLine="0"/>
              <w:jc w:val="right"/>
            </w:pPr>
            <w:r>
              <w:t xml:space="preserve">2011 </w:t>
            </w:r>
          </w:p>
        </w:tc>
        <w:tc>
          <w:tcPr>
            <w:tcW w:w="7230" w:type="dxa"/>
            <w:tcBorders>
              <w:top w:val="single" w:sz="4" w:space="0" w:color="000000"/>
              <w:left w:val="single" w:sz="4" w:space="0" w:color="000000"/>
              <w:bottom w:val="single" w:sz="4" w:space="0" w:color="000000"/>
              <w:right w:val="single" w:sz="4" w:space="0" w:color="000000"/>
            </w:tcBorders>
          </w:tcPr>
          <w:p w14:paraId="61324A24" w14:textId="77777777" w:rsidR="004A3CD3" w:rsidRDefault="006C0598">
            <w:pPr>
              <w:spacing w:after="0" w:line="259" w:lineRule="auto"/>
              <w:ind w:left="0" w:right="0" w:firstLine="0"/>
              <w:jc w:val="left"/>
            </w:pPr>
            <w:r>
              <w:t xml:space="preserve">Decision FCCC/SB/2011/INF.1 </w:t>
            </w:r>
          </w:p>
        </w:tc>
      </w:tr>
      <w:tr w:rsidR="00E933CB" w14:paraId="724B9F88" w14:textId="77777777">
        <w:trPr>
          <w:trHeight w:val="317"/>
        </w:trPr>
        <w:tc>
          <w:tcPr>
            <w:tcW w:w="674" w:type="dxa"/>
            <w:tcBorders>
              <w:top w:val="single" w:sz="4" w:space="0" w:color="000000"/>
              <w:left w:val="single" w:sz="4" w:space="0" w:color="000000"/>
              <w:bottom w:val="single" w:sz="4" w:space="0" w:color="000000"/>
              <w:right w:val="single" w:sz="4" w:space="0" w:color="000000"/>
            </w:tcBorders>
          </w:tcPr>
          <w:p w14:paraId="4DEBDFFD"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H.16 </w:t>
            </w:r>
          </w:p>
        </w:tc>
        <w:tc>
          <w:tcPr>
            <w:tcW w:w="1277" w:type="dxa"/>
            <w:tcBorders>
              <w:top w:val="single" w:sz="4" w:space="0" w:color="000000"/>
              <w:left w:val="single" w:sz="4" w:space="0" w:color="000000"/>
              <w:bottom w:val="single" w:sz="4" w:space="0" w:color="000000"/>
              <w:right w:val="single" w:sz="4" w:space="0" w:color="000000"/>
            </w:tcBorders>
          </w:tcPr>
          <w:p w14:paraId="6CFCD8BB" w14:textId="77777777" w:rsidR="004A3CD3" w:rsidRDefault="006C0598">
            <w:pPr>
              <w:spacing w:after="0" w:line="259" w:lineRule="auto"/>
              <w:ind w:left="0" w:right="49" w:firstLine="0"/>
              <w:jc w:val="right"/>
            </w:pPr>
            <w:r>
              <w:t xml:space="preserve">2012 </w:t>
            </w:r>
          </w:p>
        </w:tc>
        <w:tc>
          <w:tcPr>
            <w:tcW w:w="7230" w:type="dxa"/>
            <w:tcBorders>
              <w:top w:val="single" w:sz="4" w:space="0" w:color="000000"/>
              <w:left w:val="single" w:sz="4" w:space="0" w:color="000000"/>
              <w:bottom w:val="single" w:sz="4" w:space="0" w:color="000000"/>
              <w:right w:val="single" w:sz="4" w:space="0" w:color="000000"/>
            </w:tcBorders>
          </w:tcPr>
          <w:p w14:paraId="3B136662" w14:textId="77777777" w:rsidR="004A3CD3" w:rsidRDefault="006C0598">
            <w:pPr>
              <w:spacing w:after="0" w:line="259" w:lineRule="auto"/>
              <w:ind w:left="0" w:right="0" w:firstLine="0"/>
              <w:jc w:val="left"/>
            </w:pPr>
            <w:r>
              <w:t xml:space="preserve">Doha - Decision 1/CMP.8 </w:t>
            </w:r>
          </w:p>
        </w:tc>
      </w:tr>
      <w:tr w:rsidR="00E933CB" w14:paraId="41011896"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5A340DC1"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H.17 </w:t>
            </w:r>
          </w:p>
        </w:tc>
        <w:tc>
          <w:tcPr>
            <w:tcW w:w="1277" w:type="dxa"/>
            <w:tcBorders>
              <w:top w:val="single" w:sz="4" w:space="0" w:color="000000"/>
              <w:left w:val="single" w:sz="4" w:space="0" w:color="000000"/>
              <w:bottom w:val="single" w:sz="4" w:space="0" w:color="000000"/>
              <w:right w:val="single" w:sz="4" w:space="0" w:color="000000"/>
            </w:tcBorders>
          </w:tcPr>
          <w:p w14:paraId="1A008DF1" w14:textId="77777777" w:rsidR="004A3CD3" w:rsidRDefault="006C0598">
            <w:pPr>
              <w:spacing w:after="0" w:line="259" w:lineRule="auto"/>
              <w:ind w:left="0" w:right="49" w:firstLine="0"/>
              <w:jc w:val="right"/>
            </w:pPr>
            <w:r>
              <w:t xml:space="preserve">2012 </w:t>
            </w:r>
          </w:p>
        </w:tc>
        <w:tc>
          <w:tcPr>
            <w:tcW w:w="7230" w:type="dxa"/>
            <w:tcBorders>
              <w:top w:val="single" w:sz="4" w:space="0" w:color="000000"/>
              <w:left w:val="single" w:sz="4" w:space="0" w:color="000000"/>
              <w:bottom w:val="single" w:sz="4" w:space="0" w:color="000000"/>
              <w:right w:val="single" w:sz="4" w:space="0" w:color="000000"/>
            </w:tcBorders>
          </w:tcPr>
          <w:p w14:paraId="22520E73" w14:textId="77777777" w:rsidR="004A3CD3" w:rsidRDefault="006C0598">
            <w:pPr>
              <w:spacing w:after="0" w:line="259" w:lineRule="auto"/>
              <w:ind w:left="0" w:right="0" w:firstLine="0"/>
              <w:jc w:val="left"/>
            </w:pPr>
            <w:r>
              <w:t xml:space="preserve">Report of the CMP.8, held in Doha from 26 November to 8 December 2012 </w:t>
            </w:r>
          </w:p>
        </w:tc>
      </w:tr>
      <w:tr w:rsidR="00E933CB" w14:paraId="29FFCD1E"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6218FEEB"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H.18 </w:t>
            </w:r>
          </w:p>
        </w:tc>
        <w:tc>
          <w:tcPr>
            <w:tcW w:w="1277" w:type="dxa"/>
            <w:tcBorders>
              <w:top w:val="single" w:sz="4" w:space="0" w:color="000000"/>
              <w:left w:val="single" w:sz="4" w:space="0" w:color="000000"/>
              <w:bottom w:val="single" w:sz="4" w:space="0" w:color="000000"/>
              <w:right w:val="single" w:sz="4" w:space="0" w:color="000000"/>
            </w:tcBorders>
          </w:tcPr>
          <w:p w14:paraId="73F861B2" w14:textId="77777777" w:rsidR="004A3CD3" w:rsidRDefault="006C0598">
            <w:pPr>
              <w:spacing w:after="0" w:line="259" w:lineRule="auto"/>
              <w:ind w:left="0" w:right="49" w:firstLine="0"/>
              <w:jc w:val="right"/>
            </w:pPr>
            <w:r>
              <w:t xml:space="preserve">2013 </w:t>
            </w:r>
          </w:p>
        </w:tc>
        <w:tc>
          <w:tcPr>
            <w:tcW w:w="7230" w:type="dxa"/>
            <w:tcBorders>
              <w:top w:val="single" w:sz="4" w:space="0" w:color="000000"/>
              <w:left w:val="single" w:sz="4" w:space="0" w:color="000000"/>
              <w:bottom w:val="single" w:sz="4" w:space="0" w:color="000000"/>
              <w:right w:val="single" w:sz="4" w:space="0" w:color="000000"/>
            </w:tcBorders>
          </w:tcPr>
          <w:p w14:paraId="1AC8F230" w14:textId="77777777" w:rsidR="004A3CD3" w:rsidRDefault="006C0598">
            <w:pPr>
              <w:spacing w:after="0" w:line="259" w:lineRule="auto"/>
              <w:ind w:left="0" w:right="0" w:firstLine="0"/>
              <w:jc w:val="left"/>
            </w:pPr>
            <w:r>
              <w:t xml:space="preserve">Warsaw - Decision 1/CP.19 </w:t>
            </w:r>
          </w:p>
        </w:tc>
      </w:tr>
      <w:tr w:rsidR="00E933CB" w14:paraId="799830E1"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556CBBC8"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H.19 </w:t>
            </w:r>
          </w:p>
        </w:tc>
        <w:tc>
          <w:tcPr>
            <w:tcW w:w="1277" w:type="dxa"/>
            <w:tcBorders>
              <w:top w:val="single" w:sz="4" w:space="0" w:color="000000"/>
              <w:left w:val="single" w:sz="4" w:space="0" w:color="000000"/>
              <w:bottom w:val="single" w:sz="4" w:space="0" w:color="000000"/>
              <w:right w:val="single" w:sz="4" w:space="0" w:color="000000"/>
            </w:tcBorders>
          </w:tcPr>
          <w:p w14:paraId="476CD739" w14:textId="77777777" w:rsidR="004A3CD3" w:rsidRDefault="006C0598">
            <w:pPr>
              <w:spacing w:after="0" w:line="259" w:lineRule="auto"/>
              <w:ind w:left="0" w:right="49" w:firstLine="0"/>
              <w:jc w:val="right"/>
            </w:pPr>
            <w:r>
              <w:t xml:space="preserve">2013 </w:t>
            </w:r>
          </w:p>
        </w:tc>
        <w:tc>
          <w:tcPr>
            <w:tcW w:w="7230" w:type="dxa"/>
            <w:tcBorders>
              <w:top w:val="single" w:sz="4" w:space="0" w:color="000000"/>
              <w:left w:val="single" w:sz="4" w:space="0" w:color="000000"/>
              <w:bottom w:val="single" w:sz="4" w:space="0" w:color="000000"/>
              <w:right w:val="single" w:sz="4" w:space="0" w:color="000000"/>
            </w:tcBorders>
          </w:tcPr>
          <w:p w14:paraId="3589914E" w14:textId="77777777" w:rsidR="004A3CD3" w:rsidRDefault="006C0598">
            <w:pPr>
              <w:spacing w:after="0" w:line="259" w:lineRule="auto"/>
              <w:ind w:left="0" w:right="0" w:firstLine="0"/>
              <w:jc w:val="left"/>
            </w:pPr>
            <w:r>
              <w:t xml:space="preserve">Warsaw - Decision 24/CP.19 </w:t>
            </w:r>
          </w:p>
        </w:tc>
      </w:tr>
      <w:tr w:rsidR="00E933CB" w14:paraId="07B29E3A"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5E9815E2"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H.20 </w:t>
            </w:r>
          </w:p>
        </w:tc>
        <w:tc>
          <w:tcPr>
            <w:tcW w:w="1277" w:type="dxa"/>
            <w:tcBorders>
              <w:top w:val="single" w:sz="4" w:space="0" w:color="000000"/>
              <w:left w:val="single" w:sz="4" w:space="0" w:color="000000"/>
              <w:bottom w:val="single" w:sz="4" w:space="0" w:color="000000"/>
              <w:right w:val="single" w:sz="4" w:space="0" w:color="000000"/>
            </w:tcBorders>
          </w:tcPr>
          <w:p w14:paraId="0B8C598B" w14:textId="77777777" w:rsidR="004A3CD3" w:rsidRDefault="006C0598">
            <w:pPr>
              <w:spacing w:after="0" w:line="259" w:lineRule="auto"/>
              <w:ind w:left="0" w:right="49" w:firstLine="0"/>
              <w:jc w:val="right"/>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2253E631" w14:textId="77777777" w:rsidR="004A3CD3" w:rsidRDefault="006C0598">
            <w:pPr>
              <w:spacing w:after="0" w:line="259" w:lineRule="auto"/>
              <w:ind w:left="0" w:right="0" w:firstLine="0"/>
              <w:jc w:val="left"/>
            </w:pPr>
            <w:r>
              <w:t xml:space="preserve">Lima - Decision 1/CP.20 </w:t>
            </w:r>
          </w:p>
        </w:tc>
      </w:tr>
      <w:tr w:rsidR="00E933CB" w14:paraId="6EA68904"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6A6CC1ED"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H.21 </w:t>
            </w:r>
          </w:p>
        </w:tc>
        <w:tc>
          <w:tcPr>
            <w:tcW w:w="1277" w:type="dxa"/>
            <w:tcBorders>
              <w:top w:val="single" w:sz="4" w:space="0" w:color="000000"/>
              <w:left w:val="single" w:sz="4" w:space="0" w:color="000000"/>
              <w:bottom w:val="single" w:sz="4" w:space="0" w:color="000000"/>
              <w:right w:val="single" w:sz="4" w:space="0" w:color="000000"/>
            </w:tcBorders>
          </w:tcPr>
          <w:p w14:paraId="69589D67" w14:textId="77777777" w:rsidR="004A3CD3" w:rsidRDefault="006C0598">
            <w:pPr>
              <w:spacing w:after="0" w:line="259" w:lineRule="auto"/>
              <w:ind w:left="0" w:right="49" w:firstLine="0"/>
              <w:jc w:val="right"/>
            </w:pPr>
            <w:r>
              <w:t xml:space="preserve">2015 </w:t>
            </w:r>
          </w:p>
        </w:tc>
        <w:tc>
          <w:tcPr>
            <w:tcW w:w="7230" w:type="dxa"/>
            <w:tcBorders>
              <w:top w:val="single" w:sz="4" w:space="0" w:color="000000"/>
              <w:left w:val="single" w:sz="4" w:space="0" w:color="000000"/>
              <w:bottom w:val="single" w:sz="4" w:space="0" w:color="000000"/>
              <w:right w:val="single" w:sz="4" w:space="0" w:color="000000"/>
            </w:tcBorders>
          </w:tcPr>
          <w:p w14:paraId="079B5F60" w14:textId="77777777" w:rsidR="004A3CD3" w:rsidRDefault="006C0598">
            <w:pPr>
              <w:spacing w:after="0" w:line="259" w:lineRule="auto"/>
              <w:ind w:left="0" w:right="0" w:firstLine="0"/>
              <w:jc w:val="left"/>
            </w:pPr>
            <w:r>
              <w:t xml:space="preserve">Paris Agreement </w:t>
            </w:r>
          </w:p>
        </w:tc>
      </w:tr>
      <w:tr w:rsidR="00E933CB" w14:paraId="215350E3"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05E33F90" w14:textId="77777777" w:rsidR="004A3CD3" w:rsidRDefault="006C0598">
            <w:pPr>
              <w:spacing w:after="0" w:line="259" w:lineRule="auto"/>
              <w:ind w:left="0" w:right="0" w:firstLine="0"/>
              <w:jc w:val="left"/>
            </w:pPr>
            <w:r>
              <w:rPr>
                <w:rFonts w:ascii="Century Gothic" w:eastAsia="Century Gothic" w:hAnsi="Century Gothic" w:cs="Century Gothic"/>
                <w:b/>
                <w:sz w:val="20"/>
              </w:rPr>
              <w:lastRenderedPageBreak/>
              <w:t xml:space="preserve">H.22 </w:t>
            </w:r>
          </w:p>
        </w:tc>
        <w:tc>
          <w:tcPr>
            <w:tcW w:w="1277" w:type="dxa"/>
            <w:tcBorders>
              <w:top w:val="single" w:sz="4" w:space="0" w:color="000000"/>
              <w:left w:val="single" w:sz="4" w:space="0" w:color="000000"/>
              <w:bottom w:val="single" w:sz="4" w:space="0" w:color="000000"/>
              <w:right w:val="single" w:sz="4" w:space="0" w:color="000000"/>
            </w:tcBorders>
          </w:tcPr>
          <w:p w14:paraId="7A0A3A5F" w14:textId="77777777" w:rsidR="004A3CD3" w:rsidRDefault="006C0598">
            <w:pPr>
              <w:spacing w:after="0" w:line="259" w:lineRule="auto"/>
              <w:ind w:left="0" w:right="49" w:firstLine="0"/>
              <w:jc w:val="right"/>
            </w:pPr>
            <w:r>
              <w:t xml:space="preserve">2015 </w:t>
            </w:r>
          </w:p>
        </w:tc>
        <w:tc>
          <w:tcPr>
            <w:tcW w:w="7230" w:type="dxa"/>
            <w:tcBorders>
              <w:top w:val="single" w:sz="4" w:space="0" w:color="000000"/>
              <w:left w:val="single" w:sz="4" w:space="0" w:color="000000"/>
              <w:bottom w:val="single" w:sz="4" w:space="0" w:color="000000"/>
              <w:right w:val="single" w:sz="4" w:space="0" w:color="000000"/>
            </w:tcBorders>
          </w:tcPr>
          <w:p w14:paraId="756E3E27" w14:textId="77777777" w:rsidR="004A3CD3" w:rsidRDefault="006C0598">
            <w:pPr>
              <w:spacing w:after="0" w:line="259" w:lineRule="auto"/>
              <w:ind w:left="0" w:right="0" w:firstLine="0"/>
              <w:jc w:val="left"/>
            </w:pPr>
            <w:r>
              <w:t xml:space="preserve">Paris - Decision 1/CP.21 </w:t>
            </w:r>
          </w:p>
        </w:tc>
      </w:tr>
      <w:tr w:rsidR="00E933CB" w14:paraId="1DF1750B" w14:textId="77777777">
        <w:trPr>
          <w:trHeight w:val="317"/>
        </w:trPr>
        <w:tc>
          <w:tcPr>
            <w:tcW w:w="674" w:type="dxa"/>
            <w:tcBorders>
              <w:top w:val="single" w:sz="4" w:space="0" w:color="000000"/>
              <w:left w:val="single" w:sz="4" w:space="0" w:color="000000"/>
              <w:bottom w:val="single" w:sz="4" w:space="0" w:color="000000"/>
              <w:right w:val="single" w:sz="4" w:space="0" w:color="000000"/>
            </w:tcBorders>
          </w:tcPr>
          <w:p w14:paraId="1452CB8A"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H.23 </w:t>
            </w:r>
          </w:p>
        </w:tc>
        <w:tc>
          <w:tcPr>
            <w:tcW w:w="1277" w:type="dxa"/>
            <w:tcBorders>
              <w:top w:val="single" w:sz="4" w:space="0" w:color="000000"/>
              <w:left w:val="single" w:sz="4" w:space="0" w:color="000000"/>
              <w:bottom w:val="single" w:sz="4" w:space="0" w:color="000000"/>
              <w:right w:val="single" w:sz="4" w:space="0" w:color="000000"/>
            </w:tcBorders>
          </w:tcPr>
          <w:p w14:paraId="47573404" w14:textId="77777777" w:rsidR="004A3CD3" w:rsidRDefault="006C0598">
            <w:pPr>
              <w:spacing w:after="0" w:line="259" w:lineRule="auto"/>
              <w:ind w:left="0" w:right="49"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777350D8" w14:textId="77777777" w:rsidR="004A3CD3" w:rsidRDefault="006C0598">
            <w:pPr>
              <w:spacing w:after="0" w:line="259" w:lineRule="auto"/>
              <w:ind w:left="0" w:right="0" w:firstLine="0"/>
              <w:jc w:val="left"/>
            </w:pPr>
            <w:r>
              <w:t xml:space="preserve">Katowice - Decision 1/CP.24 </w:t>
            </w:r>
          </w:p>
        </w:tc>
      </w:tr>
      <w:tr w:rsidR="00E933CB" w14:paraId="6A756631" w14:textId="77777777">
        <w:trPr>
          <w:trHeight w:val="348"/>
        </w:trPr>
        <w:tc>
          <w:tcPr>
            <w:tcW w:w="674" w:type="dxa"/>
            <w:tcBorders>
              <w:top w:val="single" w:sz="4" w:space="0" w:color="000000"/>
              <w:left w:val="single" w:sz="4" w:space="0" w:color="000000"/>
              <w:bottom w:val="single" w:sz="4" w:space="0" w:color="000000"/>
              <w:right w:val="nil"/>
            </w:tcBorders>
          </w:tcPr>
          <w:p w14:paraId="5323E32A" w14:textId="77777777" w:rsidR="00E933CB" w:rsidRDefault="00E933CB">
            <w:pPr>
              <w:spacing w:after="160" w:line="259" w:lineRule="auto"/>
              <w:ind w:left="0" w:right="0" w:firstLine="0"/>
              <w:jc w:val="left"/>
            </w:pPr>
          </w:p>
        </w:tc>
        <w:tc>
          <w:tcPr>
            <w:tcW w:w="8507" w:type="dxa"/>
            <w:gridSpan w:val="2"/>
            <w:tcBorders>
              <w:top w:val="single" w:sz="4" w:space="0" w:color="000000"/>
              <w:left w:val="nil"/>
              <w:bottom w:val="single" w:sz="4" w:space="0" w:color="000000"/>
              <w:right w:val="single" w:sz="4" w:space="0" w:color="000000"/>
            </w:tcBorders>
          </w:tcPr>
          <w:p w14:paraId="22CE96A1" w14:textId="77777777" w:rsidR="004A3CD3" w:rsidRDefault="006C0598">
            <w:pPr>
              <w:spacing w:after="0" w:line="259" w:lineRule="auto"/>
              <w:ind w:left="0" w:right="759" w:firstLine="0"/>
              <w:jc w:val="center"/>
            </w:pPr>
            <w:r>
              <w:rPr>
                <w:b/>
                <w:sz w:val="24"/>
                <w:u w:val="single" w:color="000000"/>
              </w:rPr>
              <w:t xml:space="preserve">Other </w:t>
            </w:r>
          </w:p>
        </w:tc>
      </w:tr>
      <w:tr w:rsidR="00E933CB" w14:paraId="1E19BFFB"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34DE5F7C" w14:textId="77777777" w:rsidR="00E933CB" w:rsidRDefault="00825B93">
            <w:pPr>
              <w:spacing w:after="0" w:line="259" w:lineRule="auto"/>
              <w:ind w:left="0" w:right="31"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5201F149" w14:textId="77777777" w:rsidR="004A3CD3" w:rsidRDefault="006C0598">
            <w:pPr>
              <w:spacing w:after="0" w:line="259" w:lineRule="auto"/>
              <w:ind w:left="0" w:right="0" w:firstLine="0"/>
              <w:jc w:val="left"/>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tcPr>
          <w:p w14:paraId="2F92642C" w14:textId="77777777" w:rsidR="004A3CD3" w:rsidRDefault="006C0598">
            <w:pPr>
              <w:spacing w:after="0" w:line="259" w:lineRule="auto"/>
              <w:ind w:left="0" w:right="0" w:firstLine="0"/>
              <w:jc w:val="left"/>
            </w:pPr>
            <w:r>
              <w:rPr>
                <w:b/>
              </w:rPr>
              <w:t xml:space="preserve">Description </w:t>
            </w:r>
          </w:p>
        </w:tc>
      </w:tr>
      <w:tr w:rsidR="00E933CB" w14:paraId="78D5162D"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5CE6CB69"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H.24 </w:t>
            </w:r>
          </w:p>
        </w:tc>
        <w:tc>
          <w:tcPr>
            <w:tcW w:w="1277" w:type="dxa"/>
            <w:tcBorders>
              <w:top w:val="single" w:sz="4" w:space="0" w:color="000000"/>
              <w:left w:val="single" w:sz="4" w:space="0" w:color="000000"/>
              <w:bottom w:val="single" w:sz="4" w:space="0" w:color="000000"/>
              <w:right w:val="single" w:sz="4" w:space="0" w:color="000000"/>
            </w:tcBorders>
          </w:tcPr>
          <w:p w14:paraId="1D166313" w14:textId="77777777" w:rsidR="004A3CD3" w:rsidRDefault="006C0598">
            <w:pPr>
              <w:spacing w:after="0" w:line="259" w:lineRule="auto"/>
              <w:ind w:left="0" w:right="49" w:firstLine="0"/>
              <w:jc w:val="right"/>
            </w:pPr>
            <w:r>
              <w:t xml:space="preserve">1969 </w:t>
            </w:r>
          </w:p>
        </w:tc>
        <w:tc>
          <w:tcPr>
            <w:tcW w:w="7230" w:type="dxa"/>
            <w:tcBorders>
              <w:top w:val="single" w:sz="4" w:space="0" w:color="000000"/>
              <w:left w:val="single" w:sz="4" w:space="0" w:color="000000"/>
              <w:bottom w:val="single" w:sz="4" w:space="0" w:color="000000"/>
              <w:right w:val="single" w:sz="4" w:space="0" w:color="000000"/>
            </w:tcBorders>
          </w:tcPr>
          <w:p w14:paraId="7EE380E7" w14:textId="77777777" w:rsidR="004A3CD3" w:rsidRDefault="006C0598">
            <w:pPr>
              <w:spacing w:after="0" w:line="259" w:lineRule="auto"/>
              <w:ind w:left="0" w:right="0" w:firstLine="0"/>
              <w:jc w:val="left"/>
            </w:pPr>
            <w:r>
              <w:t xml:space="preserve">Vienna Convention of 23 May 1969 on the Law of Treaties </w:t>
            </w:r>
          </w:p>
        </w:tc>
      </w:tr>
      <w:tr w:rsidR="00E933CB" w14:paraId="73C9EBFC"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21C0AAB8"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H.25 </w:t>
            </w:r>
          </w:p>
        </w:tc>
        <w:tc>
          <w:tcPr>
            <w:tcW w:w="1277" w:type="dxa"/>
            <w:tcBorders>
              <w:top w:val="single" w:sz="4" w:space="0" w:color="000000"/>
              <w:left w:val="single" w:sz="4" w:space="0" w:color="000000"/>
              <w:bottom w:val="single" w:sz="4" w:space="0" w:color="000000"/>
              <w:right w:val="single" w:sz="4" w:space="0" w:color="000000"/>
            </w:tcBorders>
          </w:tcPr>
          <w:p w14:paraId="77621DBF" w14:textId="77777777" w:rsidR="004A3CD3" w:rsidRDefault="006C0598">
            <w:pPr>
              <w:spacing w:after="0" w:line="259" w:lineRule="auto"/>
              <w:ind w:left="0" w:right="49" w:firstLine="0"/>
              <w:jc w:val="right"/>
            </w:pPr>
            <w:r>
              <w:t xml:space="preserve">1988 </w:t>
            </w:r>
          </w:p>
        </w:tc>
        <w:tc>
          <w:tcPr>
            <w:tcW w:w="7230" w:type="dxa"/>
            <w:tcBorders>
              <w:top w:val="single" w:sz="4" w:space="0" w:color="000000"/>
              <w:left w:val="single" w:sz="4" w:space="0" w:color="000000"/>
              <w:bottom w:val="single" w:sz="4" w:space="0" w:color="000000"/>
              <w:right w:val="single" w:sz="4" w:space="0" w:color="000000"/>
            </w:tcBorders>
          </w:tcPr>
          <w:p w14:paraId="0A1C1E7A" w14:textId="77777777" w:rsidR="004A3CD3" w:rsidRDefault="006C0598">
            <w:pPr>
              <w:spacing w:after="0" w:line="259" w:lineRule="auto"/>
              <w:ind w:left="0" w:right="80" w:firstLine="0"/>
            </w:pPr>
            <w:r>
              <w:t xml:space="preserve">United Nations General Assembly, Resolution 43/53, Resolution on the Protection of Global Climate for Present and Future Generations, 6 December 1988 </w:t>
            </w:r>
          </w:p>
        </w:tc>
      </w:tr>
      <w:tr w:rsidR="00E933CB" w14:paraId="12A7FA8C"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246F0F32"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H.26 </w:t>
            </w:r>
          </w:p>
        </w:tc>
        <w:tc>
          <w:tcPr>
            <w:tcW w:w="1277" w:type="dxa"/>
            <w:tcBorders>
              <w:top w:val="single" w:sz="4" w:space="0" w:color="000000"/>
              <w:left w:val="single" w:sz="4" w:space="0" w:color="000000"/>
              <w:bottom w:val="single" w:sz="4" w:space="0" w:color="000000"/>
              <w:right w:val="single" w:sz="4" w:space="0" w:color="000000"/>
            </w:tcBorders>
          </w:tcPr>
          <w:p w14:paraId="53A6B353" w14:textId="77777777" w:rsidR="004A3CD3" w:rsidRDefault="006C0598">
            <w:pPr>
              <w:spacing w:after="0" w:line="259" w:lineRule="auto"/>
              <w:ind w:left="0" w:right="49" w:firstLine="0"/>
              <w:jc w:val="right"/>
            </w:pPr>
            <w:r>
              <w:t xml:space="preserve">2007 </w:t>
            </w:r>
          </w:p>
        </w:tc>
        <w:tc>
          <w:tcPr>
            <w:tcW w:w="7230" w:type="dxa"/>
            <w:tcBorders>
              <w:top w:val="single" w:sz="4" w:space="0" w:color="000000"/>
              <w:left w:val="single" w:sz="4" w:space="0" w:color="000000"/>
              <w:bottom w:val="single" w:sz="4" w:space="0" w:color="000000"/>
              <w:right w:val="single" w:sz="4" w:space="0" w:color="000000"/>
            </w:tcBorders>
          </w:tcPr>
          <w:p w14:paraId="3D3A5FE7" w14:textId="77777777" w:rsidR="004A3CD3" w:rsidRDefault="006C0598">
            <w:pPr>
              <w:spacing w:after="19" w:line="259" w:lineRule="auto"/>
              <w:ind w:left="0" w:right="0" w:firstLine="0"/>
              <w:jc w:val="left"/>
            </w:pPr>
            <w:r>
              <w:t xml:space="preserve">Supreme Court of the US, Massachusetts vs EPA, 549 U.S. 497 (2007) - </w:t>
            </w:r>
          </w:p>
          <w:p w14:paraId="037DF837" w14:textId="77777777" w:rsidR="004A3CD3" w:rsidRDefault="006C0598">
            <w:pPr>
              <w:spacing w:after="0" w:line="259" w:lineRule="auto"/>
              <w:ind w:left="0" w:right="0" w:firstLine="0"/>
              <w:jc w:val="left"/>
            </w:pPr>
            <w:r>
              <w:t xml:space="preserve">02.04.2007 </w:t>
            </w:r>
          </w:p>
        </w:tc>
      </w:tr>
      <w:tr w:rsidR="00E933CB" w14:paraId="316AAFCA"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514398E9"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H.27 </w:t>
            </w:r>
          </w:p>
        </w:tc>
        <w:tc>
          <w:tcPr>
            <w:tcW w:w="1277" w:type="dxa"/>
            <w:tcBorders>
              <w:top w:val="single" w:sz="4" w:space="0" w:color="000000"/>
              <w:left w:val="single" w:sz="4" w:space="0" w:color="000000"/>
              <w:bottom w:val="single" w:sz="4" w:space="0" w:color="000000"/>
              <w:right w:val="single" w:sz="4" w:space="0" w:color="000000"/>
            </w:tcBorders>
          </w:tcPr>
          <w:p w14:paraId="294E0A7F" w14:textId="77777777" w:rsidR="004A3CD3" w:rsidRDefault="006C0598">
            <w:pPr>
              <w:spacing w:after="0" w:line="259" w:lineRule="auto"/>
              <w:ind w:left="0" w:right="49"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31F57A89" w14:textId="77777777" w:rsidR="004A3CD3" w:rsidRDefault="006C0598">
            <w:pPr>
              <w:spacing w:after="0" w:line="259" w:lineRule="auto"/>
              <w:ind w:left="0" w:right="0" w:firstLine="0"/>
            </w:pPr>
            <w:r>
              <w:t xml:space="preserve">Human Rights Council, Tenth session, Resolution 10/4, Resolution on Human Rights and Climate Change, 25 March 2009 </w:t>
            </w:r>
          </w:p>
        </w:tc>
      </w:tr>
      <w:tr w:rsidR="00E933CB" w14:paraId="7629CD4F"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64E69FF0"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H.28 </w:t>
            </w:r>
          </w:p>
        </w:tc>
        <w:tc>
          <w:tcPr>
            <w:tcW w:w="1277" w:type="dxa"/>
            <w:tcBorders>
              <w:top w:val="single" w:sz="4" w:space="0" w:color="000000"/>
              <w:left w:val="single" w:sz="4" w:space="0" w:color="000000"/>
              <w:bottom w:val="single" w:sz="4" w:space="0" w:color="000000"/>
              <w:right w:val="single" w:sz="4" w:space="0" w:color="000000"/>
            </w:tcBorders>
          </w:tcPr>
          <w:p w14:paraId="7E92A5EE" w14:textId="77777777" w:rsidR="004A3CD3" w:rsidRDefault="006C0598">
            <w:pPr>
              <w:spacing w:after="0" w:line="259" w:lineRule="auto"/>
              <w:ind w:left="0" w:right="49"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5AF4A34E" w14:textId="77777777" w:rsidR="004A3CD3" w:rsidRDefault="006C0598">
            <w:pPr>
              <w:spacing w:after="0" w:line="259" w:lineRule="auto"/>
              <w:ind w:left="0" w:right="0" w:firstLine="0"/>
            </w:pPr>
            <w:r>
              <w:t xml:space="preserve">Human Rights Council General Assembly, Report of the Human Rights Council on its tenth session, 2009 </w:t>
            </w:r>
          </w:p>
        </w:tc>
      </w:tr>
      <w:tr w:rsidR="00E933CB" w14:paraId="0B0C6938"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3CB65812"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H.29 </w:t>
            </w:r>
          </w:p>
        </w:tc>
        <w:tc>
          <w:tcPr>
            <w:tcW w:w="1277" w:type="dxa"/>
            <w:tcBorders>
              <w:top w:val="single" w:sz="4" w:space="0" w:color="000000"/>
              <w:left w:val="single" w:sz="4" w:space="0" w:color="000000"/>
              <w:bottom w:val="single" w:sz="4" w:space="0" w:color="000000"/>
              <w:right w:val="single" w:sz="4" w:space="0" w:color="000000"/>
            </w:tcBorders>
          </w:tcPr>
          <w:p w14:paraId="3A5D747E" w14:textId="77777777" w:rsidR="004A3CD3" w:rsidRDefault="006C0598">
            <w:pPr>
              <w:spacing w:after="0" w:line="259" w:lineRule="auto"/>
              <w:ind w:left="0" w:right="49" w:firstLine="0"/>
              <w:jc w:val="right"/>
            </w:pPr>
            <w:r>
              <w:t xml:space="preserve">2013 </w:t>
            </w:r>
          </w:p>
        </w:tc>
        <w:tc>
          <w:tcPr>
            <w:tcW w:w="7230" w:type="dxa"/>
            <w:tcBorders>
              <w:top w:val="single" w:sz="4" w:space="0" w:color="000000"/>
              <w:left w:val="single" w:sz="4" w:space="0" w:color="000000"/>
              <w:bottom w:val="single" w:sz="4" w:space="0" w:color="000000"/>
              <w:right w:val="single" w:sz="4" w:space="0" w:color="000000"/>
            </w:tcBorders>
          </w:tcPr>
          <w:p w14:paraId="2E4AEA54" w14:textId="77777777" w:rsidR="004A3CD3" w:rsidRDefault="006C0598">
            <w:pPr>
              <w:spacing w:after="0" w:line="259" w:lineRule="auto"/>
              <w:ind w:left="0" w:right="85" w:firstLine="0"/>
            </w:pPr>
            <w:r>
              <w:t xml:space="preserve">Committee on the Rights of the Child, General Comment No. 15 (2013) on the right of the child to the enjoyment of the highest attainable standard of health (art. 24), CRC/C/GC/15, 17 April 2013 </w:t>
            </w:r>
          </w:p>
        </w:tc>
      </w:tr>
      <w:tr w:rsidR="00E933CB" w14:paraId="7FBC84D7"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762D2E81"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H.30 </w:t>
            </w:r>
          </w:p>
        </w:tc>
        <w:tc>
          <w:tcPr>
            <w:tcW w:w="1277" w:type="dxa"/>
            <w:tcBorders>
              <w:top w:val="single" w:sz="4" w:space="0" w:color="000000"/>
              <w:left w:val="single" w:sz="4" w:space="0" w:color="000000"/>
              <w:bottom w:val="single" w:sz="4" w:space="0" w:color="000000"/>
              <w:right w:val="single" w:sz="4" w:space="0" w:color="000000"/>
            </w:tcBorders>
          </w:tcPr>
          <w:p w14:paraId="3E5E0EAA" w14:textId="77777777" w:rsidR="004A3CD3" w:rsidRDefault="006C0598">
            <w:pPr>
              <w:spacing w:after="0" w:line="259" w:lineRule="auto"/>
              <w:ind w:left="0" w:right="49" w:firstLine="0"/>
              <w:jc w:val="right"/>
            </w:pPr>
            <w:r>
              <w:t xml:space="preserve">2015 </w:t>
            </w:r>
          </w:p>
        </w:tc>
        <w:tc>
          <w:tcPr>
            <w:tcW w:w="7230" w:type="dxa"/>
            <w:tcBorders>
              <w:top w:val="single" w:sz="4" w:space="0" w:color="000000"/>
              <w:left w:val="single" w:sz="4" w:space="0" w:color="000000"/>
              <w:bottom w:val="single" w:sz="4" w:space="0" w:color="000000"/>
              <w:right w:val="single" w:sz="4" w:space="0" w:color="000000"/>
            </w:tcBorders>
          </w:tcPr>
          <w:p w14:paraId="396556B7" w14:textId="77777777" w:rsidR="004A3CD3" w:rsidRDefault="006C0598">
            <w:pPr>
              <w:spacing w:after="0" w:line="259" w:lineRule="auto"/>
              <w:ind w:left="0" w:right="0" w:firstLine="0"/>
              <w:jc w:val="left"/>
            </w:pPr>
            <w:r>
              <w:t xml:space="preserve">Oslo Principles 01.03.2015 </w:t>
            </w:r>
          </w:p>
        </w:tc>
      </w:tr>
      <w:tr w:rsidR="00E933CB" w14:paraId="426880FD"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7E412E8D"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H.31 </w:t>
            </w:r>
          </w:p>
        </w:tc>
        <w:tc>
          <w:tcPr>
            <w:tcW w:w="1277" w:type="dxa"/>
            <w:tcBorders>
              <w:top w:val="single" w:sz="4" w:space="0" w:color="000000"/>
              <w:left w:val="single" w:sz="4" w:space="0" w:color="000000"/>
              <w:bottom w:val="single" w:sz="4" w:space="0" w:color="000000"/>
              <w:right w:val="single" w:sz="4" w:space="0" w:color="000000"/>
            </w:tcBorders>
          </w:tcPr>
          <w:p w14:paraId="25A3E091" w14:textId="77777777" w:rsidR="004A3CD3" w:rsidRDefault="006C0598">
            <w:pPr>
              <w:spacing w:after="0" w:line="259" w:lineRule="auto"/>
              <w:ind w:left="0" w:right="49" w:firstLine="0"/>
              <w:jc w:val="right"/>
            </w:pPr>
            <w:r>
              <w:t xml:space="preserve">2015 </w:t>
            </w:r>
          </w:p>
        </w:tc>
        <w:tc>
          <w:tcPr>
            <w:tcW w:w="7230" w:type="dxa"/>
            <w:tcBorders>
              <w:top w:val="single" w:sz="4" w:space="0" w:color="000000"/>
              <w:left w:val="single" w:sz="4" w:space="0" w:color="000000"/>
              <w:bottom w:val="single" w:sz="4" w:space="0" w:color="000000"/>
              <w:right w:val="single" w:sz="4" w:space="0" w:color="000000"/>
            </w:tcBorders>
          </w:tcPr>
          <w:p w14:paraId="1AEAF292" w14:textId="77777777" w:rsidR="004A3CD3" w:rsidRDefault="006C0598">
            <w:pPr>
              <w:spacing w:after="0" w:line="259" w:lineRule="auto"/>
              <w:ind w:left="0" w:right="0" w:firstLine="0"/>
              <w:jc w:val="left"/>
            </w:pPr>
            <w:r>
              <w:t xml:space="preserve">Oslo Principles 01.03.2015- Comment </w:t>
            </w:r>
          </w:p>
        </w:tc>
      </w:tr>
      <w:tr w:rsidR="00E933CB" w14:paraId="2FC677A4" w14:textId="77777777">
        <w:trPr>
          <w:trHeight w:val="627"/>
        </w:trPr>
        <w:tc>
          <w:tcPr>
            <w:tcW w:w="674" w:type="dxa"/>
            <w:tcBorders>
              <w:top w:val="single" w:sz="4" w:space="0" w:color="000000"/>
              <w:left w:val="single" w:sz="4" w:space="0" w:color="000000"/>
              <w:bottom w:val="single" w:sz="4" w:space="0" w:color="000000"/>
              <w:right w:val="single" w:sz="4" w:space="0" w:color="000000"/>
            </w:tcBorders>
          </w:tcPr>
          <w:p w14:paraId="3E293B5C"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H.32 </w:t>
            </w:r>
          </w:p>
        </w:tc>
        <w:tc>
          <w:tcPr>
            <w:tcW w:w="1277" w:type="dxa"/>
            <w:tcBorders>
              <w:top w:val="single" w:sz="4" w:space="0" w:color="000000"/>
              <w:left w:val="single" w:sz="4" w:space="0" w:color="000000"/>
              <w:bottom w:val="single" w:sz="4" w:space="0" w:color="000000"/>
              <w:right w:val="single" w:sz="4" w:space="0" w:color="000000"/>
            </w:tcBorders>
          </w:tcPr>
          <w:p w14:paraId="4ED6FCE8" w14:textId="77777777" w:rsidR="004A3CD3" w:rsidRDefault="006C0598">
            <w:pPr>
              <w:spacing w:after="0" w:line="259" w:lineRule="auto"/>
              <w:ind w:left="0" w:right="49" w:firstLine="0"/>
              <w:jc w:val="right"/>
            </w:pPr>
            <w:r>
              <w:t xml:space="preserve">2015 </w:t>
            </w:r>
          </w:p>
        </w:tc>
        <w:tc>
          <w:tcPr>
            <w:tcW w:w="7230" w:type="dxa"/>
            <w:tcBorders>
              <w:top w:val="single" w:sz="4" w:space="0" w:color="000000"/>
              <w:left w:val="single" w:sz="4" w:space="0" w:color="000000"/>
              <w:bottom w:val="single" w:sz="4" w:space="0" w:color="000000"/>
              <w:right w:val="single" w:sz="4" w:space="0" w:color="000000"/>
            </w:tcBorders>
          </w:tcPr>
          <w:p w14:paraId="28B12ADF" w14:textId="77777777" w:rsidR="004A3CD3" w:rsidRDefault="006C0598">
            <w:pPr>
              <w:spacing w:after="0" w:line="259" w:lineRule="auto"/>
              <w:ind w:left="0" w:right="0" w:firstLine="0"/>
            </w:pPr>
            <w:r>
              <w:t xml:space="preserve">UNFCCC 2015, </w:t>
            </w:r>
            <w:r>
              <w:rPr>
                <w:i/>
              </w:rPr>
              <w:t xml:space="preserve">Report on the Structured Expert Dialogue on the 2013-2015 review </w:t>
            </w:r>
          </w:p>
        </w:tc>
      </w:tr>
      <w:tr w:rsidR="00E933CB" w14:paraId="78651482"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6BE8A51E"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H.33 </w:t>
            </w:r>
          </w:p>
        </w:tc>
        <w:tc>
          <w:tcPr>
            <w:tcW w:w="1277" w:type="dxa"/>
            <w:tcBorders>
              <w:top w:val="single" w:sz="4" w:space="0" w:color="000000"/>
              <w:left w:val="single" w:sz="4" w:space="0" w:color="000000"/>
              <w:bottom w:val="single" w:sz="4" w:space="0" w:color="000000"/>
              <w:right w:val="single" w:sz="4" w:space="0" w:color="000000"/>
            </w:tcBorders>
          </w:tcPr>
          <w:p w14:paraId="5713683B" w14:textId="77777777" w:rsidR="004A3CD3" w:rsidRDefault="006C0598">
            <w:pPr>
              <w:spacing w:after="0" w:line="259" w:lineRule="auto"/>
              <w:ind w:left="0" w:right="49" w:firstLine="0"/>
              <w:jc w:val="right"/>
            </w:pPr>
            <w:r>
              <w:t xml:space="preserve">2017 </w:t>
            </w:r>
          </w:p>
        </w:tc>
        <w:tc>
          <w:tcPr>
            <w:tcW w:w="7230" w:type="dxa"/>
            <w:tcBorders>
              <w:top w:val="single" w:sz="4" w:space="0" w:color="000000"/>
              <w:left w:val="single" w:sz="4" w:space="0" w:color="000000"/>
              <w:bottom w:val="single" w:sz="4" w:space="0" w:color="000000"/>
              <w:right w:val="single" w:sz="4" w:space="0" w:color="000000"/>
            </w:tcBorders>
          </w:tcPr>
          <w:p w14:paraId="1E9294D9" w14:textId="77777777" w:rsidR="004A3CD3" w:rsidRDefault="006C0598">
            <w:pPr>
              <w:spacing w:after="0" w:line="259" w:lineRule="auto"/>
              <w:ind w:left="0" w:right="80" w:firstLine="0"/>
            </w:pPr>
            <w:r>
              <w:t xml:space="preserve">Report of the Office of the United Nations High Commissioner for Human Rights, "Analytical study on the relationship between climate change and the full enjoyment of the rights of the child", A/HRC/35/13, 4 May 2017 </w:t>
            </w:r>
          </w:p>
        </w:tc>
      </w:tr>
      <w:tr w:rsidR="00E933CB" w14:paraId="70E03A44" w14:textId="77777777">
        <w:trPr>
          <w:trHeight w:val="1246"/>
        </w:trPr>
        <w:tc>
          <w:tcPr>
            <w:tcW w:w="674" w:type="dxa"/>
            <w:tcBorders>
              <w:top w:val="single" w:sz="4" w:space="0" w:color="000000"/>
              <w:left w:val="single" w:sz="4" w:space="0" w:color="000000"/>
              <w:bottom w:val="single" w:sz="4" w:space="0" w:color="000000"/>
              <w:right w:val="single" w:sz="4" w:space="0" w:color="000000"/>
            </w:tcBorders>
          </w:tcPr>
          <w:p w14:paraId="58D0AA99"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H.34 </w:t>
            </w:r>
          </w:p>
        </w:tc>
        <w:tc>
          <w:tcPr>
            <w:tcW w:w="1277" w:type="dxa"/>
            <w:tcBorders>
              <w:top w:val="single" w:sz="4" w:space="0" w:color="000000"/>
              <w:left w:val="single" w:sz="4" w:space="0" w:color="000000"/>
              <w:bottom w:val="single" w:sz="4" w:space="0" w:color="000000"/>
              <w:right w:val="single" w:sz="4" w:space="0" w:color="000000"/>
            </w:tcBorders>
          </w:tcPr>
          <w:p w14:paraId="582D94A9" w14:textId="77777777" w:rsidR="004A3CD3" w:rsidRDefault="006C0598">
            <w:pPr>
              <w:spacing w:after="0" w:line="259" w:lineRule="auto"/>
              <w:ind w:left="0" w:right="49"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67ACF281" w14:textId="77777777" w:rsidR="004A3CD3" w:rsidRDefault="006C0598">
            <w:pPr>
              <w:spacing w:after="0" w:line="259" w:lineRule="auto"/>
              <w:ind w:left="0" w:right="78" w:firstLine="0"/>
            </w:pPr>
            <w:r>
              <w:t>Report of the Special Rapporteur of the Human Rights Council, "</w:t>
            </w:r>
            <w:r>
              <w:rPr>
                <w:i/>
              </w:rPr>
              <w:t>Report of the Special Rapporteur on the issue of human rights obligations relating to the means of enjoying a safe, clean, healthy and sustainable environment</w:t>
            </w:r>
            <w:r>
              <w:t xml:space="preserve">", A/HRC/37/59, 24 January 2018 </w:t>
            </w:r>
          </w:p>
        </w:tc>
      </w:tr>
      <w:tr w:rsidR="00E933CB" w14:paraId="37BE9EBE" w14:textId="77777777">
        <w:trPr>
          <w:trHeight w:val="938"/>
        </w:trPr>
        <w:tc>
          <w:tcPr>
            <w:tcW w:w="674" w:type="dxa"/>
            <w:tcBorders>
              <w:top w:val="single" w:sz="4" w:space="0" w:color="000000"/>
              <w:left w:val="single" w:sz="4" w:space="0" w:color="000000"/>
              <w:bottom w:val="single" w:sz="4" w:space="0" w:color="000000"/>
              <w:right w:val="single" w:sz="4" w:space="0" w:color="000000"/>
            </w:tcBorders>
          </w:tcPr>
          <w:p w14:paraId="6528491F"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H.35 </w:t>
            </w:r>
          </w:p>
        </w:tc>
        <w:tc>
          <w:tcPr>
            <w:tcW w:w="1277" w:type="dxa"/>
            <w:tcBorders>
              <w:top w:val="single" w:sz="4" w:space="0" w:color="000000"/>
              <w:left w:val="single" w:sz="4" w:space="0" w:color="000000"/>
              <w:bottom w:val="single" w:sz="4" w:space="0" w:color="000000"/>
              <w:right w:val="single" w:sz="4" w:space="0" w:color="000000"/>
            </w:tcBorders>
          </w:tcPr>
          <w:p w14:paraId="558A255E" w14:textId="77777777" w:rsidR="004A3CD3" w:rsidRDefault="006C0598">
            <w:pPr>
              <w:spacing w:after="0" w:line="259" w:lineRule="auto"/>
              <w:ind w:left="0" w:right="49"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2FC871B3" w14:textId="77777777" w:rsidR="004A3CD3" w:rsidRDefault="006C0598">
            <w:pPr>
              <w:spacing w:after="0" w:line="259" w:lineRule="auto"/>
              <w:ind w:left="0" w:right="78" w:firstLine="0"/>
            </w:pPr>
            <w:r>
              <w:t xml:space="preserve">Opening statement by Michelle Bachelet, United Nations High Commissioner for Human Rights, Forty-second session of the Human Rights Council, 9 September 2019 </w:t>
            </w:r>
          </w:p>
        </w:tc>
      </w:tr>
    </w:tbl>
    <w:p w14:paraId="26DCBA23" w14:textId="77777777" w:rsidR="00E933CB" w:rsidRDefault="00825B93">
      <w:pPr>
        <w:spacing w:after="98" w:line="259" w:lineRule="auto"/>
        <w:ind w:left="0" w:right="9117" w:firstLine="0"/>
        <w:jc w:val="right"/>
      </w:pPr>
      <w:r>
        <w:t xml:space="preserve"> </w:t>
      </w:r>
    </w:p>
    <w:p w14:paraId="7CDDA5C1" w14:textId="77777777" w:rsidR="00E933CB" w:rsidRDefault="00825B93">
      <w:pPr>
        <w:spacing w:after="98" w:line="259" w:lineRule="auto"/>
        <w:ind w:left="464" w:right="0" w:firstLine="0"/>
        <w:jc w:val="left"/>
      </w:pPr>
      <w:r>
        <w:t xml:space="preserve"> </w:t>
      </w:r>
    </w:p>
    <w:p w14:paraId="5E2CE388" w14:textId="77777777" w:rsidR="00E933CB" w:rsidRDefault="00825B93">
      <w:pPr>
        <w:spacing w:after="0" w:line="259" w:lineRule="auto"/>
        <w:ind w:left="464" w:right="0" w:firstLine="0"/>
        <w:jc w:val="left"/>
      </w:pPr>
      <w:r>
        <w:t xml:space="preserve"> </w:t>
      </w:r>
    </w:p>
    <w:tbl>
      <w:tblPr>
        <w:tblStyle w:val="TableGrid"/>
        <w:tblW w:w="9182" w:type="dxa"/>
        <w:tblInd w:w="468" w:type="dxa"/>
        <w:tblCellMar>
          <w:top w:w="48" w:type="dxa"/>
          <w:left w:w="108" w:type="dxa"/>
          <w:right w:w="92" w:type="dxa"/>
        </w:tblCellMar>
        <w:tblLook w:val="04A0" w:firstRow="1" w:lastRow="0" w:firstColumn="1" w:lastColumn="0" w:noHBand="0" w:noVBand="1"/>
      </w:tblPr>
      <w:tblGrid>
        <w:gridCol w:w="674"/>
        <w:gridCol w:w="1277"/>
        <w:gridCol w:w="7231"/>
      </w:tblGrid>
      <w:tr w:rsidR="00E933CB" w14:paraId="2764C89A" w14:textId="77777777">
        <w:trPr>
          <w:trHeight w:val="574"/>
        </w:trPr>
        <w:tc>
          <w:tcPr>
            <w:tcW w:w="674" w:type="dxa"/>
            <w:tcBorders>
              <w:top w:val="single" w:sz="4" w:space="0" w:color="000000"/>
              <w:left w:val="single" w:sz="4" w:space="0" w:color="000000"/>
              <w:bottom w:val="single" w:sz="4" w:space="0" w:color="000000"/>
              <w:right w:val="nil"/>
            </w:tcBorders>
          </w:tcPr>
          <w:p w14:paraId="7B21D383" w14:textId="77777777" w:rsidR="00E933CB" w:rsidRDefault="00E933CB">
            <w:pPr>
              <w:spacing w:after="160" w:line="259" w:lineRule="auto"/>
              <w:ind w:left="0" w:right="0" w:firstLine="0"/>
              <w:jc w:val="left"/>
            </w:pPr>
          </w:p>
        </w:tc>
        <w:tc>
          <w:tcPr>
            <w:tcW w:w="1277" w:type="dxa"/>
            <w:tcBorders>
              <w:top w:val="single" w:sz="4" w:space="0" w:color="000000"/>
              <w:left w:val="nil"/>
              <w:bottom w:val="single" w:sz="4" w:space="0" w:color="000000"/>
              <w:right w:val="nil"/>
            </w:tcBorders>
          </w:tcPr>
          <w:p w14:paraId="5BBC3323" w14:textId="77777777" w:rsidR="00E933CB" w:rsidRDefault="00E933CB">
            <w:pPr>
              <w:spacing w:after="160" w:line="259" w:lineRule="auto"/>
              <w:ind w:left="0" w:right="0" w:firstLine="0"/>
              <w:jc w:val="left"/>
            </w:pPr>
          </w:p>
        </w:tc>
        <w:tc>
          <w:tcPr>
            <w:tcW w:w="7230" w:type="dxa"/>
            <w:tcBorders>
              <w:top w:val="single" w:sz="4" w:space="0" w:color="000000"/>
              <w:left w:val="nil"/>
              <w:bottom w:val="single" w:sz="4" w:space="0" w:color="000000"/>
              <w:right w:val="single" w:sz="4" w:space="0" w:color="000000"/>
            </w:tcBorders>
          </w:tcPr>
          <w:p w14:paraId="5E02AAF1" w14:textId="77777777" w:rsidR="004A3CD3" w:rsidRDefault="006C0598">
            <w:pPr>
              <w:spacing w:after="0" w:line="259" w:lineRule="auto"/>
              <w:ind w:left="1251" w:right="0" w:firstLine="0"/>
              <w:jc w:val="left"/>
            </w:pPr>
            <w:r>
              <w:rPr>
                <w:b/>
                <w:sz w:val="40"/>
              </w:rPr>
              <w:t xml:space="preserve">I. </w:t>
            </w:r>
            <w:r>
              <w:rPr>
                <w:b/>
                <w:sz w:val="40"/>
                <w:u w:val="single" w:color="000000"/>
              </w:rPr>
              <w:t xml:space="preserve">Belgian doctrine </w:t>
            </w:r>
          </w:p>
        </w:tc>
      </w:tr>
      <w:tr w:rsidR="00E933CB" w14:paraId="5031AD3E" w14:textId="77777777">
        <w:trPr>
          <w:trHeight w:val="317"/>
        </w:trPr>
        <w:tc>
          <w:tcPr>
            <w:tcW w:w="674" w:type="dxa"/>
            <w:tcBorders>
              <w:top w:val="single" w:sz="4" w:space="0" w:color="000000"/>
              <w:left w:val="single" w:sz="4" w:space="0" w:color="000000"/>
              <w:bottom w:val="single" w:sz="4" w:space="0" w:color="000000"/>
              <w:right w:val="single" w:sz="4" w:space="0" w:color="000000"/>
            </w:tcBorders>
          </w:tcPr>
          <w:p w14:paraId="607088BF" w14:textId="77777777" w:rsidR="00E933CB" w:rsidRDefault="00825B93">
            <w:pPr>
              <w:spacing w:after="0" w:line="259" w:lineRule="auto"/>
              <w:ind w:left="0" w:right="31"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583AE831" w14:textId="77777777" w:rsidR="004A3CD3" w:rsidRDefault="006C0598">
            <w:pPr>
              <w:spacing w:after="0" w:line="259" w:lineRule="auto"/>
              <w:ind w:left="0" w:right="0" w:firstLine="0"/>
              <w:jc w:val="left"/>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tcPr>
          <w:p w14:paraId="66EA93B6" w14:textId="77777777" w:rsidR="004A3CD3" w:rsidRDefault="006C0598">
            <w:pPr>
              <w:spacing w:after="0" w:line="259" w:lineRule="auto"/>
              <w:ind w:left="0" w:right="0" w:firstLine="0"/>
              <w:jc w:val="left"/>
            </w:pPr>
            <w:r>
              <w:rPr>
                <w:b/>
              </w:rPr>
              <w:t xml:space="preserve">Description </w:t>
            </w:r>
          </w:p>
        </w:tc>
      </w:tr>
      <w:tr w:rsidR="00E933CB" w14:paraId="123DF55A"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1CD01498" w14:textId="77777777" w:rsidR="004A3CD3" w:rsidRDefault="006C0598">
            <w:pPr>
              <w:spacing w:after="0" w:line="259" w:lineRule="auto"/>
              <w:ind w:left="0" w:right="85" w:firstLine="0"/>
              <w:jc w:val="center"/>
            </w:pPr>
            <w:r>
              <w:rPr>
                <w:rFonts w:ascii="Century Gothic" w:eastAsia="Century Gothic" w:hAnsi="Century Gothic" w:cs="Century Gothic"/>
                <w:b/>
                <w:sz w:val="20"/>
              </w:rPr>
              <w:t xml:space="preserve">I.1 </w:t>
            </w:r>
          </w:p>
        </w:tc>
        <w:tc>
          <w:tcPr>
            <w:tcW w:w="1277" w:type="dxa"/>
            <w:tcBorders>
              <w:top w:val="single" w:sz="4" w:space="0" w:color="000000"/>
              <w:left w:val="single" w:sz="4" w:space="0" w:color="000000"/>
              <w:bottom w:val="single" w:sz="4" w:space="0" w:color="000000"/>
              <w:right w:val="single" w:sz="4" w:space="0" w:color="000000"/>
            </w:tcBorders>
          </w:tcPr>
          <w:p w14:paraId="75B2C25D" w14:textId="77777777" w:rsidR="004A3CD3" w:rsidRDefault="006C0598">
            <w:pPr>
              <w:spacing w:after="0" w:line="259" w:lineRule="auto"/>
              <w:ind w:left="0" w:right="49" w:firstLine="0"/>
              <w:jc w:val="right"/>
            </w:pPr>
            <w:r>
              <w:t xml:space="preserve">1998 </w:t>
            </w:r>
          </w:p>
        </w:tc>
        <w:tc>
          <w:tcPr>
            <w:tcW w:w="7230" w:type="dxa"/>
            <w:tcBorders>
              <w:top w:val="single" w:sz="4" w:space="0" w:color="000000"/>
              <w:left w:val="single" w:sz="4" w:space="0" w:color="000000"/>
              <w:bottom w:val="single" w:sz="4" w:space="0" w:color="000000"/>
              <w:right w:val="single" w:sz="4" w:space="0" w:color="000000"/>
            </w:tcBorders>
          </w:tcPr>
          <w:p w14:paraId="65D75DFF" w14:textId="77777777" w:rsidR="004A3CD3" w:rsidRDefault="006C0598">
            <w:pPr>
              <w:spacing w:after="0" w:line="259" w:lineRule="auto"/>
              <w:ind w:left="0" w:right="0" w:firstLine="0"/>
            </w:pPr>
            <w:r>
              <w:t xml:space="preserve">Mahieu (M.) and van Drooghenbroeck (S.) , "La responsabilité de l'Etat législateur", </w:t>
            </w:r>
            <w:r>
              <w:rPr>
                <w:i/>
              </w:rPr>
              <w:t xml:space="preserve">J.T. </w:t>
            </w:r>
            <w:r>
              <w:t xml:space="preserve">, 1998 </w:t>
            </w:r>
          </w:p>
        </w:tc>
      </w:tr>
      <w:tr w:rsidR="00E933CB" w14:paraId="654EC66F"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6DFA3EE1" w14:textId="77777777" w:rsidR="004A3CD3" w:rsidRDefault="006C0598">
            <w:pPr>
              <w:spacing w:after="0" w:line="259" w:lineRule="auto"/>
              <w:ind w:left="0" w:right="85" w:firstLine="0"/>
              <w:jc w:val="center"/>
            </w:pPr>
            <w:r>
              <w:rPr>
                <w:rFonts w:ascii="Century Gothic" w:eastAsia="Century Gothic" w:hAnsi="Century Gothic" w:cs="Century Gothic"/>
                <w:b/>
                <w:sz w:val="20"/>
              </w:rPr>
              <w:lastRenderedPageBreak/>
              <w:t xml:space="preserve">I.2 </w:t>
            </w:r>
          </w:p>
        </w:tc>
        <w:tc>
          <w:tcPr>
            <w:tcW w:w="1277" w:type="dxa"/>
            <w:tcBorders>
              <w:top w:val="single" w:sz="4" w:space="0" w:color="000000"/>
              <w:left w:val="single" w:sz="4" w:space="0" w:color="000000"/>
              <w:bottom w:val="single" w:sz="4" w:space="0" w:color="000000"/>
              <w:right w:val="single" w:sz="4" w:space="0" w:color="000000"/>
            </w:tcBorders>
          </w:tcPr>
          <w:p w14:paraId="344B3EFE" w14:textId="77777777" w:rsidR="004A3CD3" w:rsidRDefault="006C0598">
            <w:pPr>
              <w:spacing w:after="0" w:line="259" w:lineRule="auto"/>
              <w:ind w:left="0" w:right="49"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tcPr>
          <w:p w14:paraId="45BC567D" w14:textId="77777777" w:rsidR="004A3CD3" w:rsidRDefault="006C0598">
            <w:pPr>
              <w:spacing w:after="0" w:line="259" w:lineRule="auto"/>
              <w:ind w:left="0" w:right="85" w:firstLine="0"/>
            </w:pPr>
            <w:r>
              <w:t xml:space="preserve">L. LAVRYSEN, "Belgian federalism and environmental policy : consultation, cooperation and ... acting each for himself in a European context", </w:t>
            </w:r>
            <w:r>
              <w:rPr>
                <w:i/>
              </w:rPr>
              <w:t>Rev. Dr. ULB</w:t>
            </w:r>
            <w:r>
              <w:t xml:space="preserve">, 2009 </w:t>
            </w:r>
          </w:p>
        </w:tc>
      </w:tr>
      <w:tr w:rsidR="00E933CB" w14:paraId="273DA9DA"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1A1F860A" w14:textId="77777777" w:rsidR="004A3CD3" w:rsidRDefault="006C0598">
            <w:pPr>
              <w:spacing w:after="0" w:line="259" w:lineRule="auto"/>
              <w:ind w:left="0" w:right="85" w:firstLine="0"/>
              <w:jc w:val="center"/>
            </w:pPr>
            <w:r>
              <w:rPr>
                <w:rFonts w:ascii="Century Gothic" w:eastAsia="Century Gothic" w:hAnsi="Century Gothic" w:cs="Century Gothic"/>
                <w:b/>
                <w:sz w:val="20"/>
              </w:rPr>
              <w:t xml:space="preserve">I.3 </w:t>
            </w:r>
          </w:p>
        </w:tc>
        <w:tc>
          <w:tcPr>
            <w:tcW w:w="1277" w:type="dxa"/>
            <w:tcBorders>
              <w:top w:val="single" w:sz="4" w:space="0" w:color="000000"/>
              <w:left w:val="single" w:sz="4" w:space="0" w:color="000000"/>
              <w:bottom w:val="single" w:sz="4" w:space="0" w:color="000000"/>
              <w:right w:val="single" w:sz="4" w:space="0" w:color="000000"/>
            </w:tcBorders>
          </w:tcPr>
          <w:p w14:paraId="4665EED2" w14:textId="77777777" w:rsidR="004A3CD3" w:rsidRDefault="006C0598">
            <w:pPr>
              <w:spacing w:after="0" w:line="259" w:lineRule="auto"/>
              <w:ind w:left="0" w:right="49" w:firstLine="0"/>
              <w:jc w:val="right"/>
            </w:pPr>
            <w:r>
              <w:t xml:space="preserve">2016 </w:t>
            </w:r>
          </w:p>
        </w:tc>
        <w:tc>
          <w:tcPr>
            <w:tcW w:w="7230" w:type="dxa"/>
            <w:tcBorders>
              <w:top w:val="single" w:sz="4" w:space="0" w:color="000000"/>
              <w:left w:val="single" w:sz="4" w:space="0" w:color="000000"/>
              <w:bottom w:val="single" w:sz="4" w:space="0" w:color="000000"/>
              <w:right w:val="single" w:sz="4" w:space="0" w:color="000000"/>
            </w:tcBorders>
          </w:tcPr>
          <w:p w14:paraId="4F87C92D" w14:textId="77777777" w:rsidR="004A3CD3" w:rsidRDefault="006C0598">
            <w:pPr>
              <w:spacing w:after="0" w:line="259" w:lineRule="auto"/>
              <w:ind w:left="0" w:right="0" w:firstLine="0"/>
            </w:pPr>
            <w:r>
              <w:t xml:space="preserve">B. DEBECKER, "Morele schadevergoeding voor vereniging mag meer bedragen dan 1 euro", </w:t>
            </w:r>
            <w:r>
              <w:rPr>
                <w:i/>
              </w:rPr>
              <w:t xml:space="preserve">De Juristenkrant, </w:t>
            </w:r>
            <w:r>
              <w:t xml:space="preserve">1 februari 2016 </w:t>
            </w:r>
          </w:p>
        </w:tc>
      </w:tr>
      <w:tr w:rsidR="00E933CB" w14:paraId="120E2040" w14:textId="77777777">
        <w:trPr>
          <w:trHeight w:val="937"/>
        </w:trPr>
        <w:tc>
          <w:tcPr>
            <w:tcW w:w="674" w:type="dxa"/>
            <w:tcBorders>
              <w:top w:val="single" w:sz="4" w:space="0" w:color="000000"/>
              <w:left w:val="single" w:sz="4" w:space="0" w:color="000000"/>
              <w:bottom w:val="single" w:sz="4" w:space="0" w:color="000000"/>
              <w:right w:val="single" w:sz="4" w:space="0" w:color="000000"/>
            </w:tcBorders>
          </w:tcPr>
          <w:p w14:paraId="03A9D642" w14:textId="77777777" w:rsidR="004A3CD3" w:rsidRDefault="006C0598">
            <w:pPr>
              <w:spacing w:after="0" w:line="259" w:lineRule="auto"/>
              <w:ind w:left="0" w:right="85" w:firstLine="0"/>
              <w:jc w:val="center"/>
            </w:pPr>
            <w:r>
              <w:rPr>
                <w:rFonts w:ascii="Century Gothic" w:eastAsia="Century Gothic" w:hAnsi="Century Gothic" w:cs="Century Gothic"/>
                <w:b/>
                <w:sz w:val="20"/>
              </w:rPr>
              <w:t xml:space="preserve">I.4 </w:t>
            </w:r>
          </w:p>
        </w:tc>
        <w:tc>
          <w:tcPr>
            <w:tcW w:w="1277" w:type="dxa"/>
            <w:tcBorders>
              <w:top w:val="single" w:sz="4" w:space="0" w:color="000000"/>
              <w:left w:val="single" w:sz="4" w:space="0" w:color="000000"/>
              <w:bottom w:val="single" w:sz="4" w:space="0" w:color="000000"/>
              <w:right w:val="single" w:sz="4" w:space="0" w:color="000000"/>
            </w:tcBorders>
          </w:tcPr>
          <w:p w14:paraId="258D4F16" w14:textId="77777777" w:rsidR="004A3CD3" w:rsidRDefault="006C0598">
            <w:pPr>
              <w:spacing w:after="0" w:line="259" w:lineRule="auto"/>
              <w:ind w:left="0" w:right="49" w:firstLine="0"/>
              <w:jc w:val="right"/>
            </w:pPr>
            <w:r>
              <w:t xml:space="preserve">2016 </w:t>
            </w:r>
          </w:p>
        </w:tc>
        <w:tc>
          <w:tcPr>
            <w:tcW w:w="7230" w:type="dxa"/>
            <w:tcBorders>
              <w:top w:val="single" w:sz="4" w:space="0" w:color="000000"/>
              <w:left w:val="single" w:sz="4" w:space="0" w:color="000000"/>
              <w:bottom w:val="single" w:sz="4" w:space="0" w:color="000000"/>
              <w:right w:val="single" w:sz="4" w:space="0" w:color="000000"/>
            </w:tcBorders>
          </w:tcPr>
          <w:p w14:paraId="391FBFCE" w14:textId="77777777" w:rsidR="004A3CD3" w:rsidRDefault="006C0598">
            <w:pPr>
              <w:spacing w:after="0" w:line="259" w:lineRule="auto"/>
              <w:ind w:left="0" w:right="81" w:firstLine="0"/>
            </w:pPr>
            <w:r>
              <w:t xml:space="preserve">J.F. PUTZ, "Quand le juge constitutionnel se prononcer sur le dommage moral d'une association environnementale. Observations under C.C. 21 January 2016, No. 7/2016", </w:t>
            </w:r>
            <w:r>
              <w:rPr>
                <w:i/>
              </w:rPr>
              <w:t>Amén.</w:t>
            </w:r>
            <w:r>
              <w:t xml:space="preserve">, 2016 </w:t>
            </w:r>
          </w:p>
        </w:tc>
      </w:tr>
      <w:tr w:rsidR="00E933CB" w14:paraId="6DB29175"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42F7E5A1" w14:textId="77777777" w:rsidR="004A3CD3" w:rsidRDefault="006C0598">
            <w:pPr>
              <w:spacing w:after="0" w:line="259" w:lineRule="auto"/>
              <w:ind w:left="0" w:right="85" w:firstLine="0"/>
              <w:jc w:val="center"/>
            </w:pPr>
            <w:r>
              <w:rPr>
                <w:rFonts w:ascii="Century Gothic" w:eastAsia="Century Gothic" w:hAnsi="Century Gothic" w:cs="Century Gothic"/>
                <w:b/>
                <w:sz w:val="20"/>
              </w:rPr>
              <w:t xml:space="preserve">I.5 </w:t>
            </w:r>
          </w:p>
        </w:tc>
        <w:tc>
          <w:tcPr>
            <w:tcW w:w="1277" w:type="dxa"/>
            <w:tcBorders>
              <w:top w:val="single" w:sz="4" w:space="0" w:color="000000"/>
              <w:left w:val="single" w:sz="4" w:space="0" w:color="000000"/>
              <w:bottom w:val="single" w:sz="4" w:space="0" w:color="000000"/>
              <w:right w:val="single" w:sz="4" w:space="0" w:color="000000"/>
            </w:tcBorders>
          </w:tcPr>
          <w:p w14:paraId="3B313C09" w14:textId="77777777" w:rsidR="004A3CD3" w:rsidRDefault="006C0598">
            <w:pPr>
              <w:spacing w:after="0" w:line="259" w:lineRule="auto"/>
              <w:ind w:left="0" w:right="49" w:firstLine="0"/>
              <w:jc w:val="right"/>
            </w:pPr>
            <w:r>
              <w:t xml:space="preserve">2017 </w:t>
            </w:r>
          </w:p>
        </w:tc>
        <w:tc>
          <w:tcPr>
            <w:tcW w:w="7230" w:type="dxa"/>
            <w:tcBorders>
              <w:top w:val="single" w:sz="4" w:space="0" w:color="000000"/>
              <w:left w:val="single" w:sz="4" w:space="0" w:color="000000"/>
              <w:bottom w:val="single" w:sz="4" w:space="0" w:color="000000"/>
              <w:right w:val="single" w:sz="4" w:space="0" w:color="000000"/>
            </w:tcBorders>
          </w:tcPr>
          <w:p w14:paraId="6AD90A58" w14:textId="77777777" w:rsidR="004A3CD3" w:rsidRDefault="006C0598">
            <w:pPr>
              <w:spacing w:after="19" w:line="259" w:lineRule="auto"/>
              <w:ind w:left="0" w:right="0" w:firstLine="0"/>
              <w:jc w:val="left"/>
            </w:pPr>
            <w:r>
              <w:t xml:space="preserve">P. GILLAERTS, "De vergoeding van morele schade bij een collectief belang: </w:t>
            </w:r>
          </w:p>
          <w:p w14:paraId="236ED372" w14:textId="77777777" w:rsidR="004A3CD3" w:rsidRDefault="006C0598">
            <w:pPr>
              <w:spacing w:after="0" w:line="259" w:lineRule="auto"/>
              <w:ind w:left="0" w:right="0" w:firstLine="0"/>
              <w:jc w:val="left"/>
            </w:pPr>
            <w:r>
              <w:t xml:space="preserve">ieder vogeltje zingt zoals het gebekt is?", </w:t>
            </w:r>
            <w:r>
              <w:rPr>
                <w:i/>
              </w:rPr>
              <w:t>TBBR/RGDC</w:t>
            </w:r>
            <w:r>
              <w:t xml:space="preserve">, 2017 </w:t>
            </w:r>
          </w:p>
        </w:tc>
      </w:tr>
      <w:tr w:rsidR="00E933CB" w14:paraId="0E851B78"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7683158F" w14:textId="77777777" w:rsidR="004A3CD3" w:rsidRDefault="006C0598">
            <w:pPr>
              <w:spacing w:after="0" w:line="259" w:lineRule="auto"/>
              <w:ind w:left="0" w:right="85" w:firstLine="0"/>
              <w:jc w:val="center"/>
            </w:pPr>
            <w:r>
              <w:rPr>
                <w:rFonts w:ascii="Century Gothic" w:eastAsia="Century Gothic" w:hAnsi="Century Gothic" w:cs="Century Gothic"/>
                <w:b/>
                <w:sz w:val="20"/>
              </w:rPr>
              <w:t xml:space="preserve">I.6 </w:t>
            </w:r>
          </w:p>
        </w:tc>
        <w:tc>
          <w:tcPr>
            <w:tcW w:w="1277" w:type="dxa"/>
            <w:tcBorders>
              <w:top w:val="single" w:sz="4" w:space="0" w:color="000000"/>
              <w:left w:val="single" w:sz="4" w:space="0" w:color="000000"/>
              <w:bottom w:val="single" w:sz="4" w:space="0" w:color="000000"/>
              <w:right w:val="single" w:sz="4" w:space="0" w:color="000000"/>
            </w:tcBorders>
          </w:tcPr>
          <w:p w14:paraId="1DDF0A0F" w14:textId="77777777" w:rsidR="004A3CD3" w:rsidRDefault="006C0598">
            <w:pPr>
              <w:spacing w:after="0" w:line="259" w:lineRule="auto"/>
              <w:ind w:left="0" w:right="49" w:firstLine="0"/>
              <w:jc w:val="right"/>
            </w:pPr>
            <w:r>
              <w:t xml:space="preserve">2017 </w:t>
            </w:r>
          </w:p>
        </w:tc>
        <w:tc>
          <w:tcPr>
            <w:tcW w:w="7230" w:type="dxa"/>
            <w:tcBorders>
              <w:top w:val="single" w:sz="4" w:space="0" w:color="000000"/>
              <w:left w:val="single" w:sz="4" w:space="0" w:color="000000"/>
              <w:bottom w:val="single" w:sz="4" w:space="0" w:color="000000"/>
              <w:right w:val="single" w:sz="4" w:space="0" w:color="000000"/>
            </w:tcBorders>
          </w:tcPr>
          <w:p w14:paraId="1091A5B6" w14:textId="77777777" w:rsidR="004A3CD3" w:rsidRDefault="006C0598">
            <w:pPr>
              <w:spacing w:after="0" w:line="276" w:lineRule="auto"/>
              <w:ind w:left="0" w:right="0" w:firstLine="0"/>
            </w:pPr>
            <w:r>
              <w:t xml:space="preserve">F. VANRYKEL, "Belgian climate policy, between autonomy and cooperation. What place for a common vision on a national scale?", </w:t>
            </w:r>
          </w:p>
          <w:p w14:paraId="3E8EFCCD" w14:textId="77777777" w:rsidR="004A3CD3" w:rsidRDefault="006C0598">
            <w:pPr>
              <w:spacing w:after="0" w:line="259" w:lineRule="auto"/>
              <w:ind w:left="0" w:right="0" w:firstLine="0"/>
              <w:jc w:val="left"/>
            </w:pPr>
            <w:r>
              <w:t xml:space="preserve">R.B.D.C., 2017 </w:t>
            </w:r>
          </w:p>
        </w:tc>
      </w:tr>
      <w:tr w:rsidR="00E933CB" w14:paraId="005445FE"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237B79A7" w14:textId="77777777" w:rsidR="004A3CD3" w:rsidRDefault="006C0598">
            <w:pPr>
              <w:spacing w:after="0" w:line="259" w:lineRule="auto"/>
              <w:ind w:left="0" w:right="85" w:firstLine="0"/>
              <w:jc w:val="center"/>
            </w:pPr>
            <w:r>
              <w:rPr>
                <w:rFonts w:ascii="Century Gothic" w:eastAsia="Century Gothic" w:hAnsi="Century Gothic" w:cs="Century Gothic"/>
                <w:b/>
                <w:sz w:val="20"/>
              </w:rPr>
              <w:t xml:space="preserve">I.7 </w:t>
            </w:r>
          </w:p>
        </w:tc>
        <w:tc>
          <w:tcPr>
            <w:tcW w:w="1277" w:type="dxa"/>
            <w:tcBorders>
              <w:top w:val="single" w:sz="4" w:space="0" w:color="000000"/>
              <w:left w:val="single" w:sz="4" w:space="0" w:color="000000"/>
              <w:bottom w:val="single" w:sz="4" w:space="0" w:color="000000"/>
              <w:right w:val="single" w:sz="4" w:space="0" w:color="000000"/>
            </w:tcBorders>
          </w:tcPr>
          <w:p w14:paraId="52F6B1D7" w14:textId="77777777" w:rsidR="004A3CD3" w:rsidRDefault="006C0598">
            <w:pPr>
              <w:spacing w:after="0" w:line="259" w:lineRule="auto"/>
              <w:ind w:left="0" w:right="49"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5D116B75" w14:textId="77777777" w:rsidR="004A3CD3" w:rsidRDefault="006C0598">
            <w:pPr>
              <w:spacing w:after="0" w:line="259" w:lineRule="auto"/>
              <w:ind w:left="0" w:right="0" w:firstLine="0"/>
              <w:jc w:val="left"/>
            </w:pPr>
            <w:r>
              <w:t xml:space="preserve">VAN YPERSELE (J.P.), </w:t>
            </w:r>
            <w:r>
              <w:rPr>
                <w:i/>
              </w:rPr>
              <w:t>In het oog van de klimaatstorm</w:t>
            </w:r>
            <w:r>
              <w:t xml:space="preserve">, Berchem, EPO, 2018. </w:t>
            </w:r>
          </w:p>
        </w:tc>
      </w:tr>
      <w:tr w:rsidR="00E933CB" w14:paraId="7F841FBC" w14:textId="77777777">
        <w:trPr>
          <w:trHeight w:val="936"/>
        </w:trPr>
        <w:tc>
          <w:tcPr>
            <w:tcW w:w="674" w:type="dxa"/>
            <w:tcBorders>
              <w:top w:val="single" w:sz="4" w:space="0" w:color="000000"/>
              <w:left w:val="single" w:sz="4" w:space="0" w:color="000000"/>
              <w:bottom w:val="single" w:sz="4" w:space="0" w:color="000000"/>
              <w:right w:val="single" w:sz="4" w:space="0" w:color="000000"/>
            </w:tcBorders>
          </w:tcPr>
          <w:p w14:paraId="3C0DD69F" w14:textId="77777777" w:rsidR="004A3CD3" w:rsidRDefault="006C0598">
            <w:pPr>
              <w:spacing w:after="0" w:line="259" w:lineRule="auto"/>
              <w:ind w:left="0" w:right="85" w:firstLine="0"/>
              <w:jc w:val="center"/>
            </w:pPr>
            <w:r>
              <w:rPr>
                <w:rFonts w:ascii="Century Gothic" w:eastAsia="Century Gothic" w:hAnsi="Century Gothic" w:cs="Century Gothic"/>
                <w:b/>
                <w:sz w:val="20"/>
              </w:rPr>
              <w:t xml:space="preserve">I.8 </w:t>
            </w:r>
          </w:p>
        </w:tc>
        <w:tc>
          <w:tcPr>
            <w:tcW w:w="1277" w:type="dxa"/>
            <w:tcBorders>
              <w:top w:val="single" w:sz="4" w:space="0" w:color="000000"/>
              <w:left w:val="single" w:sz="4" w:space="0" w:color="000000"/>
              <w:bottom w:val="single" w:sz="4" w:space="0" w:color="000000"/>
              <w:right w:val="single" w:sz="4" w:space="0" w:color="000000"/>
            </w:tcBorders>
          </w:tcPr>
          <w:p w14:paraId="79EF7830" w14:textId="77777777" w:rsidR="004A3CD3" w:rsidRDefault="006C0598">
            <w:pPr>
              <w:spacing w:after="0" w:line="259" w:lineRule="auto"/>
              <w:ind w:left="0" w:right="49"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72E2BD46" w14:textId="77777777" w:rsidR="004A3CD3" w:rsidRDefault="006C0598">
            <w:pPr>
              <w:spacing w:after="0" w:line="259" w:lineRule="auto"/>
              <w:ind w:left="0" w:right="80" w:firstLine="0"/>
            </w:pPr>
            <w:r>
              <w:t xml:space="preserve">H. SCHOUKENS &amp; A. SOETE, "Climate change litigation against states after 'Urgenda': the times they are a-changing?", </w:t>
            </w:r>
            <w:r>
              <w:rPr>
                <w:i/>
              </w:rPr>
              <w:t>Amén.-Envir</w:t>
            </w:r>
            <w:r>
              <w:t xml:space="preserve">, 2018/4-Special issue. </w:t>
            </w:r>
          </w:p>
        </w:tc>
      </w:tr>
      <w:tr w:rsidR="00E933CB" w14:paraId="4BC85B1A" w14:textId="77777777">
        <w:trPr>
          <w:trHeight w:val="629"/>
        </w:trPr>
        <w:tc>
          <w:tcPr>
            <w:tcW w:w="674" w:type="dxa"/>
            <w:tcBorders>
              <w:top w:val="single" w:sz="4" w:space="0" w:color="000000"/>
              <w:left w:val="single" w:sz="4" w:space="0" w:color="000000"/>
              <w:bottom w:val="single" w:sz="4" w:space="0" w:color="000000"/>
              <w:right w:val="single" w:sz="4" w:space="0" w:color="000000"/>
            </w:tcBorders>
          </w:tcPr>
          <w:p w14:paraId="0AC27280" w14:textId="77777777" w:rsidR="004A3CD3" w:rsidRDefault="006C0598">
            <w:pPr>
              <w:spacing w:after="0" w:line="259" w:lineRule="auto"/>
              <w:ind w:left="0" w:right="85" w:firstLine="0"/>
              <w:jc w:val="center"/>
            </w:pPr>
            <w:r>
              <w:rPr>
                <w:rFonts w:ascii="Century Gothic" w:eastAsia="Century Gothic" w:hAnsi="Century Gothic" w:cs="Century Gothic"/>
                <w:b/>
                <w:sz w:val="20"/>
              </w:rPr>
              <w:t xml:space="preserve">I.9 </w:t>
            </w:r>
          </w:p>
        </w:tc>
        <w:tc>
          <w:tcPr>
            <w:tcW w:w="1277" w:type="dxa"/>
            <w:tcBorders>
              <w:top w:val="single" w:sz="4" w:space="0" w:color="000000"/>
              <w:left w:val="single" w:sz="4" w:space="0" w:color="000000"/>
              <w:bottom w:val="single" w:sz="4" w:space="0" w:color="000000"/>
              <w:right w:val="single" w:sz="4" w:space="0" w:color="000000"/>
            </w:tcBorders>
          </w:tcPr>
          <w:p w14:paraId="60AF4E12" w14:textId="77777777" w:rsidR="004A3CD3" w:rsidRDefault="006C0598">
            <w:pPr>
              <w:spacing w:after="0" w:line="259" w:lineRule="auto"/>
              <w:ind w:left="0" w:right="49"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tcPr>
          <w:p w14:paraId="405303DF" w14:textId="77777777" w:rsidR="004A3CD3" w:rsidRDefault="006C0598">
            <w:pPr>
              <w:spacing w:after="0" w:line="259" w:lineRule="auto"/>
              <w:ind w:left="0" w:right="0" w:firstLine="0"/>
            </w:pPr>
            <w:r>
              <w:t xml:space="preserve">M. EL BERHOUMI &amp; C. NENNEN, "Climate change and federalism", </w:t>
            </w:r>
            <w:r>
              <w:rPr>
                <w:i/>
              </w:rPr>
              <w:t>Amén</w:t>
            </w:r>
            <w:r>
              <w:t xml:space="preserve">. 2018 </w:t>
            </w:r>
          </w:p>
        </w:tc>
      </w:tr>
      <w:tr w:rsidR="00E933CB" w14:paraId="31D397FC"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605BCD29" w14:textId="77777777" w:rsidR="004A3CD3" w:rsidRDefault="006C0598">
            <w:pPr>
              <w:spacing w:after="0" w:line="259" w:lineRule="auto"/>
              <w:ind w:left="29" w:right="0" w:firstLine="0"/>
              <w:jc w:val="left"/>
            </w:pPr>
            <w:r>
              <w:rPr>
                <w:rFonts w:ascii="Century Gothic" w:eastAsia="Century Gothic" w:hAnsi="Century Gothic" w:cs="Century Gothic"/>
                <w:b/>
                <w:sz w:val="20"/>
              </w:rPr>
              <w:t xml:space="preserve">I.10 </w:t>
            </w:r>
          </w:p>
        </w:tc>
        <w:tc>
          <w:tcPr>
            <w:tcW w:w="1277" w:type="dxa"/>
            <w:tcBorders>
              <w:top w:val="single" w:sz="4" w:space="0" w:color="000000"/>
              <w:left w:val="single" w:sz="4" w:space="0" w:color="000000"/>
              <w:bottom w:val="single" w:sz="4" w:space="0" w:color="000000"/>
              <w:right w:val="single" w:sz="4" w:space="0" w:color="000000"/>
            </w:tcBorders>
          </w:tcPr>
          <w:p w14:paraId="3CDA7A22" w14:textId="77777777" w:rsidR="004A3CD3" w:rsidRDefault="006C0598">
            <w:pPr>
              <w:spacing w:after="0" w:line="259" w:lineRule="auto"/>
              <w:ind w:left="0" w:right="49"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tcPr>
          <w:p w14:paraId="248C34D5" w14:textId="77777777" w:rsidR="004A3CD3" w:rsidRDefault="006C0598">
            <w:pPr>
              <w:spacing w:after="0" w:line="259" w:lineRule="auto"/>
              <w:ind w:left="0" w:right="0" w:firstLine="0"/>
              <w:jc w:val="left"/>
            </w:pPr>
            <w:r>
              <w:t xml:space="preserve">AUVRAY (F.), "Is the violation of a treaty a fault?", </w:t>
            </w:r>
            <w:r>
              <w:rPr>
                <w:i/>
              </w:rPr>
              <w:t>J.T.</w:t>
            </w:r>
            <w:r>
              <w:t xml:space="preserve">, 2019, n° 6756 </w:t>
            </w:r>
          </w:p>
        </w:tc>
      </w:tr>
    </w:tbl>
    <w:p w14:paraId="1D7A78C3" w14:textId="77777777" w:rsidR="00E933CB" w:rsidRDefault="00825B93">
      <w:pPr>
        <w:spacing w:after="98" w:line="259" w:lineRule="auto"/>
        <w:ind w:left="464" w:right="0" w:firstLine="0"/>
        <w:jc w:val="left"/>
      </w:pPr>
      <w:r>
        <w:t xml:space="preserve"> </w:t>
      </w:r>
    </w:p>
    <w:p w14:paraId="7E779EFD" w14:textId="77777777" w:rsidR="00E933CB" w:rsidRDefault="00825B93">
      <w:pPr>
        <w:spacing w:after="98" w:line="259" w:lineRule="auto"/>
        <w:ind w:left="464" w:right="0" w:firstLine="0"/>
        <w:jc w:val="left"/>
      </w:pPr>
      <w:r>
        <w:t xml:space="preserve"> </w:t>
      </w:r>
    </w:p>
    <w:p w14:paraId="4E1B3B0F" w14:textId="77777777" w:rsidR="00E933CB" w:rsidRDefault="00825B93">
      <w:pPr>
        <w:spacing w:after="0" w:line="259" w:lineRule="auto"/>
        <w:ind w:left="0" w:right="9117" w:firstLine="0"/>
        <w:jc w:val="right"/>
      </w:pPr>
      <w:r>
        <w:t xml:space="preserve"> </w:t>
      </w:r>
    </w:p>
    <w:tbl>
      <w:tblPr>
        <w:tblStyle w:val="TableGrid"/>
        <w:tblW w:w="9182" w:type="dxa"/>
        <w:tblInd w:w="468" w:type="dxa"/>
        <w:tblCellMar>
          <w:top w:w="48" w:type="dxa"/>
          <w:left w:w="108" w:type="dxa"/>
          <w:right w:w="58" w:type="dxa"/>
        </w:tblCellMar>
        <w:tblLook w:val="04A0" w:firstRow="1" w:lastRow="0" w:firstColumn="1" w:lastColumn="0" w:noHBand="0" w:noVBand="1"/>
      </w:tblPr>
      <w:tblGrid>
        <w:gridCol w:w="674"/>
        <w:gridCol w:w="1277"/>
        <w:gridCol w:w="7231"/>
      </w:tblGrid>
      <w:tr w:rsidR="00E933CB" w14:paraId="6C089B17" w14:textId="77777777">
        <w:trPr>
          <w:trHeight w:val="571"/>
        </w:trPr>
        <w:tc>
          <w:tcPr>
            <w:tcW w:w="674" w:type="dxa"/>
            <w:tcBorders>
              <w:top w:val="single" w:sz="4" w:space="0" w:color="000000"/>
              <w:left w:val="single" w:sz="4" w:space="0" w:color="000000"/>
              <w:bottom w:val="single" w:sz="4" w:space="0" w:color="000000"/>
              <w:right w:val="nil"/>
            </w:tcBorders>
          </w:tcPr>
          <w:p w14:paraId="05B57EB4" w14:textId="77777777" w:rsidR="00E933CB" w:rsidRDefault="00E933CB">
            <w:pPr>
              <w:spacing w:after="160" w:line="259" w:lineRule="auto"/>
              <w:ind w:left="0" w:right="0" w:firstLine="0"/>
              <w:jc w:val="left"/>
            </w:pPr>
          </w:p>
        </w:tc>
        <w:tc>
          <w:tcPr>
            <w:tcW w:w="1277" w:type="dxa"/>
            <w:tcBorders>
              <w:top w:val="single" w:sz="4" w:space="0" w:color="000000"/>
              <w:left w:val="nil"/>
              <w:bottom w:val="single" w:sz="4" w:space="0" w:color="000000"/>
              <w:right w:val="nil"/>
            </w:tcBorders>
          </w:tcPr>
          <w:p w14:paraId="1ECA611C" w14:textId="77777777" w:rsidR="00E933CB" w:rsidRDefault="00E933CB">
            <w:pPr>
              <w:spacing w:after="160" w:line="259" w:lineRule="auto"/>
              <w:ind w:left="0" w:right="0" w:firstLine="0"/>
              <w:jc w:val="left"/>
            </w:pPr>
          </w:p>
        </w:tc>
        <w:tc>
          <w:tcPr>
            <w:tcW w:w="7230" w:type="dxa"/>
            <w:tcBorders>
              <w:top w:val="single" w:sz="4" w:space="0" w:color="000000"/>
              <w:left w:val="nil"/>
              <w:bottom w:val="single" w:sz="4" w:space="0" w:color="000000"/>
              <w:right w:val="single" w:sz="4" w:space="0" w:color="000000"/>
            </w:tcBorders>
          </w:tcPr>
          <w:p w14:paraId="54FC3EF8" w14:textId="77777777" w:rsidR="004A3CD3" w:rsidRDefault="006C0598">
            <w:pPr>
              <w:spacing w:after="0" w:line="259" w:lineRule="auto"/>
              <w:ind w:left="490" w:right="0" w:firstLine="0"/>
              <w:jc w:val="left"/>
            </w:pPr>
            <w:r>
              <w:rPr>
                <w:b/>
                <w:sz w:val="40"/>
              </w:rPr>
              <w:t xml:space="preserve">J. </w:t>
            </w:r>
            <w:r>
              <w:rPr>
                <w:b/>
                <w:sz w:val="40"/>
                <w:u w:val="single" w:color="000000"/>
              </w:rPr>
              <w:t xml:space="preserve">International doctrine </w:t>
            </w:r>
          </w:p>
        </w:tc>
      </w:tr>
      <w:tr w:rsidR="00E933CB" w14:paraId="3C532536"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2132A9E2" w14:textId="77777777" w:rsidR="00E933CB" w:rsidRDefault="00825B93">
            <w:pPr>
              <w:spacing w:after="0" w:line="259" w:lineRule="auto"/>
              <w:ind w:left="0" w:right="65"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FAC0590" w14:textId="77777777" w:rsidR="004A3CD3" w:rsidRDefault="006C0598">
            <w:pPr>
              <w:spacing w:after="0" w:line="259" w:lineRule="auto"/>
              <w:ind w:left="0" w:right="0" w:firstLine="0"/>
              <w:jc w:val="left"/>
            </w:pPr>
            <w:r>
              <w:t xml:space="preserve">Date </w:t>
            </w:r>
          </w:p>
        </w:tc>
        <w:tc>
          <w:tcPr>
            <w:tcW w:w="7230" w:type="dxa"/>
            <w:tcBorders>
              <w:top w:val="single" w:sz="4" w:space="0" w:color="000000"/>
              <w:left w:val="single" w:sz="4" w:space="0" w:color="000000"/>
              <w:bottom w:val="single" w:sz="4" w:space="0" w:color="000000"/>
              <w:right w:val="single" w:sz="4" w:space="0" w:color="000000"/>
            </w:tcBorders>
          </w:tcPr>
          <w:p w14:paraId="755E4392" w14:textId="77777777" w:rsidR="004A3CD3" w:rsidRDefault="006C0598">
            <w:pPr>
              <w:spacing w:after="0" w:line="259" w:lineRule="auto"/>
              <w:ind w:left="0" w:right="0" w:firstLine="0"/>
              <w:jc w:val="left"/>
            </w:pPr>
            <w:r>
              <w:t xml:space="preserve">Description </w:t>
            </w:r>
          </w:p>
        </w:tc>
      </w:tr>
      <w:tr w:rsidR="00E933CB" w14:paraId="425CCBCB"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5CC7551E" w14:textId="77777777" w:rsidR="004A3CD3" w:rsidRDefault="006C0598">
            <w:pPr>
              <w:spacing w:after="0" w:line="259" w:lineRule="auto"/>
              <w:ind w:left="0" w:right="116" w:firstLine="0"/>
              <w:jc w:val="center"/>
            </w:pPr>
            <w:r>
              <w:rPr>
                <w:rFonts w:ascii="Century Gothic" w:eastAsia="Century Gothic" w:hAnsi="Century Gothic" w:cs="Century Gothic"/>
                <w:b/>
                <w:sz w:val="20"/>
              </w:rPr>
              <w:t xml:space="preserve">J.1 </w:t>
            </w:r>
          </w:p>
        </w:tc>
        <w:tc>
          <w:tcPr>
            <w:tcW w:w="1277" w:type="dxa"/>
            <w:tcBorders>
              <w:top w:val="single" w:sz="4" w:space="0" w:color="000000"/>
              <w:left w:val="single" w:sz="4" w:space="0" w:color="000000"/>
              <w:bottom w:val="single" w:sz="4" w:space="0" w:color="000000"/>
              <w:right w:val="single" w:sz="4" w:space="0" w:color="000000"/>
            </w:tcBorders>
          </w:tcPr>
          <w:p w14:paraId="66194B32" w14:textId="77777777" w:rsidR="004A3CD3" w:rsidRDefault="006C0598">
            <w:pPr>
              <w:spacing w:after="0" w:line="259" w:lineRule="auto"/>
              <w:ind w:left="0" w:right="82" w:firstLine="0"/>
              <w:jc w:val="right"/>
            </w:pPr>
            <w:r>
              <w:t xml:space="preserve">2013 </w:t>
            </w:r>
          </w:p>
        </w:tc>
        <w:tc>
          <w:tcPr>
            <w:tcW w:w="7230" w:type="dxa"/>
            <w:tcBorders>
              <w:top w:val="single" w:sz="4" w:space="0" w:color="000000"/>
              <w:left w:val="single" w:sz="4" w:space="0" w:color="000000"/>
              <w:bottom w:val="single" w:sz="4" w:space="0" w:color="000000"/>
              <w:right w:val="single" w:sz="4" w:space="0" w:color="000000"/>
            </w:tcBorders>
            <w:vAlign w:val="center"/>
          </w:tcPr>
          <w:p w14:paraId="73669B32" w14:textId="77777777" w:rsidR="004A3CD3" w:rsidRDefault="006C0598">
            <w:pPr>
              <w:spacing w:after="0" w:line="259" w:lineRule="auto"/>
              <w:ind w:left="0" w:right="0" w:firstLine="0"/>
            </w:pPr>
            <w:r>
              <w:t xml:space="preserve">A. ANCYGIER, "Poland and the European Climate Policy: an uneasy Relationship, ResearchGate, November 2013  </w:t>
            </w:r>
          </w:p>
        </w:tc>
      </w:tr>
      <w:tr w:rsidR="00E933CB" w14:paraId="4AE57FEA" w14:textId="77777777">
        <w:trPr>
          <w:trHeight w:val="1056"/>
        </w:trPr>
        <w:tc>
          <w:tcPr>
            <w:tcW w:w="674" w:type="dxa"/>
            <w:tcBorders>
              <w:top w:val="single" w:sz="4" w:space="0" w:color="000000"/>
              <w:left w:val="single" w:sz="4" w:space="0" w:color="000000"/>
              <w:bottom w:val="single" w:sz="4" w:space="0" w:color="000000"/>
              <w:right w:val="single" w:sz="4" w:space="0" w:color="000000"/>
            </w:tcBorders>
          </w:tcPr>
          <w:p w14:paraId="7D0303AF" w14:textId="77777777" w:rsidR="004A3CD3" w:rsidRDefault="006C0598">
            <w:pPr>
              <w:spacing w:after="0" w:line="259" w:lineRule="auto"/>
              <w:ind w:left="0" w:right="116" w:firstLine="0"/>
              <w:jc w:val="center"/>
            </w:pPr>
            <w:r>
              <w:rPr>
                <w:rFonts w:ascii="Century Gothic" w:eastAsia="Century Gothic" w:hAnsi="Century Gothic" w:cs="Century Gothic"/>
                <w:b/>
                <w:sz w:val="20"/>
              </w:rPr>
              <w:t xml:space="preserve">J.2 </w:t>
            </w:r>
          </w:p>
        </w:tc>
        <w:tc>
          <w:tcPr>
            <w:tcW w:w="1277" w:type="dxa"/>
            <w:tcBorders>
              <w:top w:val="single" w:sz="4" w:space="0" w:color="000000"/>
              <w:left w:val="single" w:sz="4" w:space="0" w:color="000000"/>
              <w:bottom w:val="single" w:sz="4" w:space="0" w:color="000000"/>
              <w:right w:val="single" w:sz="4" w:space="0" w:color="000000"/>
            </w:tcBorders>
          </w:tcPr>
          <w:p w14:paraId="77B141B6" w14:textId="77777777" w:rsidR="004A3CD3" w:rsidRDefault="006C0598">
            <w:pPr>
              <w:spacing w:after="0" w:line="259" w:lineRule="auto"/>
              <w:ind w:left="0" w:right="82"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vAlign w:val="center"/>
          </w:tcPr>
          <w:p w14:paraId="6632EE1B" w14:textId="77777777" w:rsidR="004A3CD3" w:rsidRDefault="006C0598">
            <w:pPr>
              <w:spacing w:after="0" w:line="259" w:lineRule="auto"/>
              <w:ind w:left="0" w:right="52" w:firstLine="0"/>
            </w:pPr>
            <w:r>
              <w:t xml:space="preserve">STEFFEN (W.) </w:t>
            </w:r>
            <w:r>
              <w:rPr>
                <w:i/>
              </w:rPr>
              <w:t>et al</w:t>
            </w:r>
            <w:r>
              <w:t xml:space="preserve">, "Trajectories of the Earth System in the Anthropocene," </w:t>
            </w:r>
            <w:r>
              <w:rPr>
                <w:i/>
              </w:rPr>
              <w:t xml:space="preserve">Proceedings of the National Academy of Sciences of the United States of America (PNAS), </w:t>
            </w:r>
            <w:r>
              <w:t xml:space="preserve">14 August 2018. </w:t>
            </w:r>
          </w:p>
        </w:tc>
      </w:tr>
      <w:tr w:rsidR="00E933CB" w14:paraId="6D4B19D0"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61690262" w14:textId="77777777" w:rsidR="004A3CD3" w:rsidRDefault="006C0598">
            <w:pPr>
              <w:spacing w:after="0" w:line="259" w:lineRule="auto"/>
              <w:ind w:left="0" w:right="116" w:firstLine="0"/>
              <w:jc w:val="center"/>
            </w:pPr>
            <w:r>
              <w:rPr>
                <w:rFonts w:ascii="Century Gothic" w:eastAsia="Century Gothic" w:hAnsi="Century Gothic" w:cs="Century Gothic"/>
                <w:b/>
                <w:sz w:val="20"/>
              </w:rPr>
              <w:t xml:space="preserve">J.3 </w:t>
            </w:r>
          </w:p>
        </w:tc>
        <w:tc>
          <w:tcPr>
            <w:tcW w:w="1277" w:type="dxa"/>
            <w:tcBorders>
              <w:top w:val="single" w:sz="4" w:space="0" w:color="000000"/>
              <w:left w:val="single" w:sz="4" w:space="0" w:color="000000"/>
              <w:bottom w:val="single" w:sz="4" w:space="0" w:color="000000"/>
              <w:right w:val="single" w:sz="4" w:space="0" w:color="000000"/>
            </w:tcBorders>
          </w:tcPr>
          <w:p w14:paraId="148D434B"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0A5B57FC" w14:textId="77777777" w:rsidR="004A3CD3" w:rsidRDefault="006C0598">
            <w:pPr>
              <w:spacing w:after="0" w:line="259" w:lineRule="auto"/>
              <w:ind w:left="0" w:right="0" w:firstLine="0"/>
              <w:jc w:val="left"/>
            </w:pPr>
            <w:r>
              <w:t xml:space="preserve">G. BOOGAARD &amp; R. J. . SCHUTGENS, "Na ons de zondvloed," </w:t>
            </w:r>
            <w:r>
              <w:rPr>
                <w:i/>
              </w:rPr>
              <w:t>JCDI</w:t>
            </w:r>
            <w:r>
              <w:t xml:space="preserve">, 12 Juni 2019. </w:t>
            </w:r>
          </w:p>
        </w:tc>
      </w:tr>
    </w:tbl>
    <w:p w14:paraId="752A3466" w14:textId="77777777" w:rsidR="00E933CB" w:rsidRDefault="00825B93">
      <w:pPr>
        <w:spacing w:after="98" w:line="259" w:lineRule="auto"/>
        <w:ind w:left="464" w:right="0" w:firstLine="0"/>
        <w:jc w:val="left"/>
      </w:pPr>
      <w:r>
        <w:t xml:space="preserve"> </w:t>
      </w:r>
    </w:p>
    <w:p w14:paraId="6F29265C" w14:textId="77777777" w:rsidR="00E933CB" w:rsidRDefault="00825B93">
      <w:pPr>
        <w:spacing w:after="98" w:line="259" w:lineRule="auto"/>
        <w:ind w:left="0" w:right="9117" w:firstLine="0"/>
        <w:jc w:val="right"/>
      </w:pPr>
      <w:r>
        <w:t xml:space="preserve"> </w:t>
      </w:r>
    </w:p>
    <w:p w14:paraId="18B19AA0" w14:textId="77777777" w:rsidR="00E933CB" w:rsidRDefault="00825B93">
      <w:pPr>
        <w:spacing w:after="0" w:line="259" w:lineRule="auto"/>
        <w:ind w:left="0" w:right="9117" w:firstLine="0"/>
        <w:jc w:val="right"/>
      </w:pPr>
      <w:r>
        <w:t xml:space="preserve"> </w:t>
      </w:r>
    </w:p>
    <w:tbl>
      <w:tblPr>
        <w:tblStyle w:val="TableGrid"/>
        <w:tblW w:w="9182" w:type="dxa"/>
        <w:tblInd w:w="468" w:type="dxa"/>
        <w:tblCellMar>
          <w:top w:w="48" w:type="dxa"/>
          <w:left w:w="108" w:type="dxa"/>
          <w:right w:w="44" w:type="dxa"/>
        </w:tblCellMar>
        <w:tblLook w:val="04A0" w:firstRow="1" w:lastRow="0" w:firstColumn="1" w:lastColumn="0" w:noHBand="0" w:noVBand="1"/>
      </w:tblPr>
      <w:tblGrid>
        <w:gridCol w:w="674"/>
        <w:gridCol w:w="1277"/>
        <w:gridCol w:w="7231"/>
      </w:tblGrid>
      <w:tr w:rsidR="00E933CB" w14:paraId="0DC62F08" w14:textId="77777777">
        <w:trPr>
          <w:trHeight w:val="574"/>
        </w:trPr>
        <w:tc>
          <w:tcPr>
            <w:tcW w:w="674" w:type="dxa"/>
            <w:tcBorders>
              <w:top w:val="single" w:sz="4" w:space="0" w:color="000000"/>
              <w:left w:val="single" w:sz="4" w:space="0" w:color="000000"/>
              <w:bottom w:val="single" w:sz="4" w:space="0" w:color="000000"/>
              <w:right w:val="nil"/>
            </w:tcBorders>
          </w:tcPr>
          <w:p w14:paraId="7085A1B2" w14:textId="77777777" w:rsidR="00E933CB" w:rsidRDefault="00E933CB">
            <w:pPr>
              <w:spacing w:after="160" w:line="259" w:lineRule="auto"/>
              <w:ind w:left="0" w:right="0" w:firstLine="0"/>
              <w:jc w:val="left"/>
            </w:pPr>
          </w:p>
        </w:tc>
        <w:tc>
          <w:tcPr>
            <w:tcW w:w="1277" w:type="dxa"/>
            <w:tcBorders>
              <w:top w:val="single" w:sz="4" w:space="0" w:color="000000"/>
              <w:left w:val="nil"/>
              <w:bottom w:val="single" w:sz="4" w:space="0" w:color="000000"/>
              <w:right w:val="nil"/>
            </w:tcBorders>
          </w:tcPr>
          <w:p w14:paraId="519924FF" w14:textId="77777777" w:rsidR="00E933CB" w:rsidRDefault="00E933CB">
            <w:pPr>
              <w:spacing w:after="160" w:line="259" w:lineRule="auto"/>
              <w:ind w:left="0" w:right="0" w:firstLine="0"/>
              <w:jc w:val="left"/>
            </w:pPr>
          </w:p>
        </w:tc>
        <w:tc>
          <w:tcPr>
            <w:tcW w:w="7230" w:type="dxa"/>
            <w:tcBorders>
              <w:top w:val="single" w:sz="4" w:space="0" w:color="000000"/>
              <w:left w:val="nil"/>
              <w:bottom w:val="single" w:sz="4" w:space="0" w:color="000000"/>
              <w:right w:val="single" w:sz="4" w:space="0" w:color="000000"/>
            </w:tcBorders>
          </w:tcPr>
          <w:p w14:paraId="7B2D23DF" w14:textId="77777777" w:rsidR="004A3CD3" w:rsidRDefault="006C0598">
            <w:pPr>
              <w:spacing w:after="0" w:line="259" w:lineRule="auto"/>
              <w:ind w:left="1313" w:right="0" w:firstLine="0"/>
              <w:jc w:val="left"/>
            </w:pPr>
            <w:r>
              <w:rPr>
                <w:b/>
                <w:sz w:val="40"/>
              </w:rPr>
              <w:t xml:space="preserve">K. </w:t>
            </w:r>
            <w:r>
              <w:rPr>
                <w:b/>
                <w:sz w:val="40"/>
                <w:u w:val="single" w:color="000000"/>
              </w:rPr>
              <w:t xml:space="preserve">Belgian press </w:t>
            </w:r>
          </w:p>
        </w:tc>
      </w:tr>
      <w:tr w:rsidR="00E933CB" w14:paraId="1542DB1B" w14:textId="77777777">
        <w:trPr>
          <w:trHeight w:val="317"/>
        </w:trPr>
        <w:tc>
          <w:tcPr>
            <w:tcW w:w="674" w:type="dxa"/>
            <w:tcBorders>
              <w:top w:val="single" w:sz="4" w:space="0" w:color="000000"/>
              <w:left w:val="single" w:sz="4" w:space="0" w:color="000000"/>
              <w:bottom w:val="single" w:sz="4" w:space="0" w:color="000000"/>
              <w:right w:val="single" w:sz="4" w:space="0" w:color="000000"/>
            </w:tcBorders>
          </w:tcPr>
          <w:p w14:paraId="0706F3B1" w14:textId="77777777" w:rsidR="00E933CB" w:rsidRDefault="00825B93">
            <w:pPr>
              <w:spacing w:after="0" w:line="259" w:lineRule="auto"/>
              <w:ind w:left="0" w:right="79" w:firstLine="0"/>
              <w:jc w:val="center"/>
            </w:pPr>
            <w:r>
              <w:rPr>
                <w:b/>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0BF801A" w14:textId="77777777" w:rsidR="004A3CD3" w:rsidRDefault="006C0598">
            <w:pPr>
              <w:spacing w:after="0" w:line="259" w:lineRule="auto"/>
              <w:ind w:left="0" w:right="0" w:firstLine="0"/>
              <w:jc w:val="left"/>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tcPr>
          <w:p w14:paraId="3DA24521" w14:textId="77777777" w:rsidR="004A3CD3" w:rsidRDefault="006C0598">
            <w:pPr>
              <w:spacing w:after="0" w:line="259" w:lineRule="auto"/>
              <w:ind w:left="0" w:right="0" w:firstLine="0"/>
              <w:jc w:val="left"/>
            </w:pPr>
            <w:r>
              <w:rPr>
                <w:b/>
              </w:rPr>
              <w:t xml:space="preserve">Description </w:t>
            </w:r>
          </w:p>
        </w:tc>
      </w:tr>
      <w:tr w:rsidR="00E933CB" w14:paraId="2ED08A4A"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40DC65AA" w14:textId="77777777" w:rsidR="004A3CD3" w:rsidRDefault="006C0598">
            <w:pPr>
              <w:spacing w:after="0" w:line="259" w:lineRule="auto"/>
              <w:ind w:left="50" w:right="0" w:firstLine="0"/>
              <w:jc w:val="left"/>
            </w:pPr>
            <w:r>
              <w:rPr>
                <w:rFonts w:ascii="Century Gothic" w:eastAsia="Century Gothic" w:hAnsi="Century Gothic" w:cs="Century Gothic"/>
                <w:b/>
                <w:sz w:val="20"/>
              </w:rPr>
              <w:lastRenderedPageBreak/>
              <w:t xml:space="preserve">K.1 </w:t>
            </w:r>
          </w:p>
        </w:tc>
        <w:tc>
          <w:tcPr>
            <w:tcW w:w="1277" w:type="dxa"/>
            <w:tcBorders>
              <w:top w:val="single" w:sz="4" w:space="0" w:color="000000"/>
              <w:left w:val="single" w:sz="4" w:space="0" w:color="000000"/>
              <w:bottom w:val="single" w:sz="4" w:space="0" w:color="000000"/>
              <w:right w:val="single" w:sz="4" w:space="0" w:color="000000"/>
            </w:tcBorders>
          </w:tcPr>
          <w:p w14:paraId="6234EFD7" w14:textId="77777777" w:rsidR="004A3CD3" w:rsidRDefault="006C0598">
            <w:pPr>
              <w:spacing w:after="0" w:line="259" w:lineRule="auto"/>
              <w:ind w:left="0" w:right="97" w:firstLine="0"/>
              <w:jc w:val="right"/>
            </w:pPr>
            <w:r>
              <w:t xml:space="preserve">2016 </w:t>
            </w:r>
          </w:p>
        </w:tc>
        <w:tc>
          <w:tcPr>
            <w:tcW w:w="7230" w:type="dxa"/>
            <w:tcBorders>
              <w:top w:val="single" w:sz="4" w:space="0" w:color="000000"/>
              <w:left w:val="single" w:sz="4" w:space="0" w:color="000000"/>
              <w:bottom w:val="single" w:sz="4" w:space="0" w:color="000000"/>
              <w:right w:val="single" w:sz="4" w:space="0" w:color="000000"/>
            </w:tcBorders>
            <w:vAlign w:val="center"/>
          </w:tcPr>
          <w:p w14:paraId="23E1F714" w14:textId="77777777" w:rsidR="004A3CD3" w:rsidRDefault="006C0598">
            <w:pPr>
              <w:spacing w:after="0" w:line="259" w:lineRule="auto"/>
              <w:ind w:left="0" w:right="0" w:firstLine="0"/>
            </w:pPr>
            <w:r>
              <w:t xml:space="preserve">X, "In Belgium, the regionalization of the climate was a mistake," L'Echo, January 27, 2016, p. 9. </w:t>
            </w:r>
          </w:p>
        </w:tc>
      </w:tr>
      <w:tr w:rsidR="00E933CB" w14:paraId="78C5E066"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1156126D" w14:textId="77777777" w:rsidR="004A3CD3" w:rsidRDefault="006C0598">
            <w:pPr>
              <w:spacing w:after="0" w:line="259" w:lineRule="auto"/>
              <w:ind w:left="50" w:right="0" w:firstLine="0"/>
              <w:jc w:val="left"/>
            </w:pPr>
            <w:r>
              <w:rPr>
                <w:rFonts w:ascii="Century Gothic" w:eastAsia="Century Gothic" w:hAnsi="Century Gothic" w:cs="Century Gothic"/>
                <w:b/>
                <w:sz w:val="20"/>
              </w:rPr>
              <w:t xml:space="preserve">K.2 </w:t>
            </w:r>
          </w:p>
        </w:tc>
        <w:tc>
          <w:tcPr>
            <w:tcW w:w="1277" w:type="dxa"/>
            <w:tcBorders>
              <w:top w:val="single" w:sz="4" w:space="0" w:color="000000"/>
              <w:left w:val="single" w:sz="4" w:space="0" w:color="000000"/>
              <w:bottom w:val="single" w:sz="4" w:space="0" w:color="000000"/>
              <w:right w:val="single" w:sz="4" w:space="0" w:color="000000"/>
            </w:tcBorders>
          </w:tcPr>
          <w:p w14:paraId="2E0D9566" w14:textId="77777777" w:rsidR="004A3CD3" w:rsidRDefault="006C0598">
            <w:pPr>
              <w:spacing w:after="0" w:line="259" w:lineRule="auto"/>
              <w:ind w:left="0" w:right="97"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vAlign w:val="center"/>
          </w:tcPr>
          <w:p w14:paraId="5A292D90" w14:textId="77777777" w:rsidR="004A3CD3" w:rsidRDefault="006C0598">
            <w:pPr>
              <w:spacing w:after="0" w:line="259" w:lineRule="auto"/>
              <w:ind w:left="0" w:right="0" w:firstLine="0"/>
            </w:pPr>
            <w:r>
              <w:t xml:space="preserve">J.P. van Ypersele, "De Vlaamse kust zal niet overleven zoals ze nu is. (interview)", </w:t>
            </w:r>
            <w:r>
              <w:rPr>
                <w:i/>
              </w:rPr>
              <w:t>De Tijd</w:t>
            </w:r>
            <w:r>
              <w:t xml:space="preserve">, 2 May 2018. </w:t>
            </w:r>
          </w:p>
        </w:tc>
      </w:tr>
      <w:tr w:rsidR="00E933CB" w14:paraId="154E83C8" w14:textId="77777777">
        <w:trPr>
          <w:trHeight w:val="788"/>
        </w:trPr>
        <w:tc>
          <w:tcPr>
            <w:tcW w:w="674" w:type="dxa"/>
            <w:tcBorders>
              <w:top w:val="single" w:sz="4" w:space="0" w:color="000000"/>
              <w:left w:val="single" w:sz="4" w:space="0" w:color="000000"/>
              <w:bottom w:val="single" w:sz="4" w:space="0" w:color="000000"/>
              <w:right w:val="single" w:sz="4" w:space="0" w:color="000000"/>
            </w:tcBorders>
          </w:tcPr>
          <w:p w14:paraId="5A3EA941" w14:textId="77777777" w:rsidR="004A3CD3" w:rsidRDefault="006C0598">
            <w:pPr>
              <w:spacing w:after="0" w:line="259" w:lineRule="auto"/>
              <w:ind w:left="50" w:right="0" w:firstLine="0"/>
              <w:jc w:val="left"/>
            </w:pPr>
            <w:r>
              <w:rPr>
                <w:rFonts w:ascii="Century Gothic" w:eastAsia="Century Gothic" w:hAnsi="Century Gothic" w:cs="Century Gothic"/>
                <w:b/>
                <w:sz w:val="20"/>
              </w:rPr>
              <w:t xml:space="preserve">K.3 </w:t>
            </w:r>
          </w:p>
        </w:tc>
        <w:tc>
          <w:tcPr>
            <w:tcW w:w="1277" w:type="dxa"/>
            <w:tcBorders>
              <w:top w:val="single" w:sz="4" w:space="0" w:color="000000"/>
              <w:left w:val="single" w:sz="4" w:space="0" w:color="000000"/>
              <w:bottom w:val="single" w:sz="4" w:space="0" w:color="000000"/>
              <w:right w:val="single" w:sz="4" w:space="0" w:color="000000"/>
            </w:tcBorders>
          </w:tcPr>
          <w:p w14:paraId="30F01AB9" w14:textId="77777777" w:rsidR="004A3CD3" w:rsidRDefault="006C0598">
            <w:pPr>
              <w:spacing w:after="0" w:line="259" w:lineRule="auto"/>
              <w:ind w:left="0" w:right="97" w:firstLine="0"/>
              <w:jc w:val="right"/>
            </w:pPr>
            <w:r>
              <w:t xml:space="preserve">2018 </w:t>
            </w:r>
          </w:p>
        </w:tc>
        <w:tc>
          <w:tcPr>
            <w:tcW w:w="7230" w:type="dxa"/>
            <w:tcBorders>
              <w:top w:val="single" w:sz="4" w:space="0" w:color="000000"/>
              <w:left w:val="single" w:sz="4" w:space="0" w:color="000000"/>
              <w:bottom w:val="single" w:sz="4" w:space="0" w:color="000000"/>
              <w:right w:val="single" w:sz="4" w:space="0" w:color="000000"/>
            </w:tcBorders>
            <w:vAlign w:val="center"/>
          </w:tcPr>
          <w:p w14:paraId="063E0B92" w14:textId="77777777" w:rsidR="004A3CD3" w:rsidRDefault="006C0598">
            <w:pPr>
              <w:spacing w:after="0" w:line="259" w:lineRule="auto"/>
              <w:ind w:left="0" w:right="0" w:firstLine="0"/>
            </w:pPr>
            <w:r>
              <w:t xml:space="preserve">S. DEVILLERS, "Climate targets torpedoed by Belgium: 'Stupefying and distressing', denounce NGOs", </w:t>
            </w:r>
            <w:r>
              <w:rPr>
                <w:i/>
              </w:rPr>
              <w:t>La Libre</w:t>
            </w:r>
            <w:r>
              <w:t xml:space="preserve">, 24 September 2018 </w:t>
            </w:r>
          </w:p>
        </w:tc>
      </w:tr>
      <w:tr w:rsidR="00E933CB" w14:paraId="45643C5C"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00225BCA" w14:textId="77777777" w:rsidR="004A3CD3" w:rsidRDefault="006C0598">
            <w:pPr>
              <w:spacing w:after="0" w:line="259" w:lineRule="auto"/>
              <w:ind w:left="50" w:right="0" w:firstLine="0"/>
              <w:jc w:val="left"/>
            </w:pPr>
            <w:r>
              <w:rPr>
                <w:rFonts w:ascii="Century Gothic" w:eastAsia="Century Gothic" w:hAnsi="Century Gothic" w:cs="Century Gothic"/>
                <w:b/>
                <w:sz w:val="20"/>
              </w:rPr>
              <w:t xml:space="preserve">K.4 </w:t>
            </w:r>
          </w:p>
        </w:tc>
        <w:tc>
          <w:tcPr>
            <w:tcW w:w="1277" w:type="dxa"/>
            <w:tcBorders>
              <w:top w:val="single" w:sz="4" w:space="0" w:color="000000"/>
              <w:left w:val="single" w:sz="4" w:space="0" w:color="000000"/>
              <w:bottom w:val="single" w:sz="4" w:space="0" w:color="000000"/>
              <w:right w:val="single" w:sz="4" w:space="0" w:color="000000"/>
            </w:tcBorders>
          </w:tcPr>
          <w:p w14:paraId="4127F67A" w14:textId="77777777" w:rsidR="004A3CD3" w:rsidRDefault="006C0598">
            <w:pPr>
              <w:spacing w:after="0" w:line="259" w:lineRule="auto"/>
              <w:ind w:left="0" w:right="99"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3527729A" w14:textId="77777777" w:rsidR="004A3CD3" w:rsidRDefault="006C0598">
            <w:pPr>
              <w:spacing w:after="0" w:line="259" w:lineRule="auto"/>
              <w:ind w:left="0" w:right="0" w:firstLine="0"/>
            </w:pPr>
            <w:r>
              <w:t xml:space="preserve">L. DE ROY, "Groen: "Elke dag een voetbalveld aan bos gekapt in Vlaanderen", VRT News, 11 Apr 2019. </w:t>
            </w:r>
          </w:p>
        </w:tc>
      </w:tr>
    </w:tbl>
    <w:p w14:paraId="316C7B07" w14:textId="77777777" w:rsidR="00E933CB" w:rsidRDefault="00E933CB">
      <w:pPr>
        <w:spacing w:after="0" w:line="259" w:lineRule="auto"/>
        <w:ind w:left="-1097" w:right="547" w:firstLine="0"/>
        <w:jc w:val="left"/>
      </w:pPr>
    </w:p>
    <w:tbl>
      <w:tblPr>
        <w:tblStyle w:val="TableGrid"/>
        <w:tblW w:w="9182" w:type="dxa"/>
        <w:tblInd w:w="468" w:type="dxa"/>
        <w:tblCellMar>
          <w:top w:w="48" w:type="dxa"/>
          <w:left w:w="108" w:type="dxa"/>
          <w:right w:w="58" w:type="dxa"/>
        </w:tblCellMar>
        <w:tblLook w:val="04A0" w:firstRow="1" w:lastRow="0" w:firstColumn="1" w:lastColumn="0" w:noHBand="0" w:noVBand="1"/>
      </w:tblPr>
      <w:tblGrid>
        <w:gridCol w:w="674"/>
        <w:gridCol w:w="1277"/>
        <w:gridCol w:w="7231"/>
      </w:tblGrid>
      <w:tr w:rsidR="00E933CB" w14:paraId="7D232E53" w14:textId="77777777">
        <w:trPr>
          <w:trHeight w:val="788"/>
        </w:trPr>
        <w:tc>
          <w:tcPr>
            <w:tcW w:w="674" w:type="dxa"/>
            <w:tcBorders>
              <w:top w:val="single" w:sz="4" w:space="0" w:color="000000"/>
              <w:left w:val="single" w:sz="4" w:space="0" w:color="000000"/>
              <w:bottom w:val="single" w:sz="4" w:space="0" w:color="000000"/>
              <w:right w:val="single" w:sz="4" w:space="0" w:color="000000"/>
            </w:tcBorders>
          </w:tcPr>
          <w:p w14:paraId="29B87AB6" w14:textId="77777777" w:rsidR="004A3CD3" w:rsidRDefault="006C0598">
            <w:pPr>
              <w:spacing w:after="0" w:line="259" w:lineRule="auto"/>
              <w:ind w:left="50" w:right="0" w:firstLine="0"/>
              <w:jc w:val="left"/>
            </w:pPr>
            <w:r>
              <w:rPr>
                <w:rFonts w:ascii="Century Gothic" w:eastAsia="Century Gothic" w:hAnsi="Century Gothic" w:cs="Century Gothic"/>
                <w:b/>
                <w:sz w:val="20"/>
              </w:rPr>
              <w:t xml:space="preserve">K.5 </w:t>
            </w:r>
          </w:p>
        </w:tc>
        <w:tc>
          <w:tcPr>
            <w:tcW w:w="1277" w:type="dxa"/>
            <w:tcBorders>
              <w:top w:val="single" w:sz="4" w:space="0" w:color="000000"/>
              <w:left w:val="single" w:sz="4" w:space="0" w:color="000000"/>
              <w:bottom w:val="single" w:sz="4" w:space="0" w:color="000000"/>
              <w:right w:val="single" w:sz="4" w:space="0" w:color="000000"/>
            </w:tcBorders>
          </w:tcPr>
          <w:p w14:paraId="25485051"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623DEFBE" w14:textId="77777777" w:rsidR="004A3CD3" w:rsidRDefault="006C0598">
            <w:pPr>
              <w:spacing w:after="0" w:line="259" w:lineRule="auto"/>
              <w:ind w:left="0" w:right="0" w:firstLine="0"/>
            </w:pPr>
            <w:r>
              <w:t xml:space="preserve">D. VAN REYBROUCK, 'Laatste kans voor de Klimaatwet', De Standaard, 20 March 2019, p. 34. </w:t>
            </w:r>
          </w:p>
        </w:tc>
      </w:tr>
      <w:tr w:rsidR="00E933CB" w14:paraId="2BA79DB6"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49B53258" w14:textId="77777777" w:rsidR="004A3CD3" w:rsidRDefault="006C0598">
            <w:pPr>
              <w:spacing w:after="0" w:line="259" w:lineRule="auto"/>
              <w:ind w:left="50" w:right="0" w:firstLine="0"/>
              <w:jc w:val="left"/>
            </w:pPr>
            <w:r>
              <w:rPr>
                <w:rFonts w:ascii="Century Gothic" w:eastAsia="Century Gothic" w:hAnsi="Century Gothic" w:cs="Century Gothic"/>
                <w:b/>
                <w:sz w:val="20"/>
              </w:rPr>
              <w:t xml:space="preserve">K.6 </w:t>
            </w:r>
          </w:p>
        </w:tc>
        <w:tc>
          <w:tcPr>
            <w:tcW w:w="1277" w:type="dxa"/>
            <w:tcBorders>
              <w:top w:val="single" w:sz="4" w:space="0" w:color="000000"/>
              <w:left w:val="single" w:sz="4" w:space="0" w:color="000000"/>
              <w:bottom w:val="single" w:sz="4" w:space="0" w:color="000000"/>
              <w:right w:val="single" w:sz="4" w:space="0" w:color="000000"/>
            </w:tcBorders>
          </w:tcPr>
          <w:p w14:paraId="47592E1D"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434AE7B3" w14:textId="77777777" w:rsidR="004A3CD3" w:rsidRDefault="006C0598">
            <w:pPr>
              <w:spacing w:after="0" w:line="259" w:lineRule="auto"/>
              <w:ind w:left="0" w:right="0" w:firstLine="0"/>
            </w:pPr>
            <w:r>
              <w:t xml:space="preserve">X, "Climate: Belgium risks being flunked in the second sess' by Europe", </w:t>
            </w:r>
            <w:r>
              <w:rPr>
                <w:i/>
              </w:rPr>
              <w:t>Le Soir</w:t>
            </w:r>
            <w:r>
              <w:t xml:space="preserve">, 4 February 2019 </w:t>
            </w:r>
          </w:p>
        </w:tc>
      </w:tr>
      <w:tr w:rsidR="00E933CB" w14:paraId="72033BB8"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585A273B" w14:textId="77777777" w:rsidR="004A3CD3" w:rsidRDefault="006C0598">
            <w:pPr>
              <w:spacing w:after="0" w:line="259" w:lineRule="auto"/>
              <w:ind w:left="50" w:right="0" w:firstLine="0"/>
              <w:jc w:val="left"/>
            </w:pPr>
            <w:r>
              <w:rPr>
                <w:rFonts w:ascii="Century Gothic" w:eastAsia="Century Gothic" w:hAnsi="Century Gothic" w:cs="Century Gothic"/>
                <w:b/>
                <w:sz w:val="20"/>
              </w:rPr>
              <w:t xml:space="preserve">K.7 </w:t>
            </w:r>
          </w:p>
        </w:tc>
        <w:tc>
          <w:tcPr>
            <w:tcW w:w="1277" w:type="dxa"/>
            <w:tcBorders>
              <w:top w:val="single" w:sz="4" w:space="0" w:color="000000"/>
              <w:left w:val="single" w:sz="4" w:space="0" w:color="000000"/>
              <w:bottom w:val="single" w:sz="4" w:space="0" w:color="000000"/>
              <w:right w:val="single" w:sz="4" w:space="0" w:color="000000"/>
            </w:tcBorders>
          </w:tcPr>
          <w:p w14:paraId="159FF3A7"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345312C1" w14:textId="77777777" w:rsidR="004A3CD3" w:rsidRDefault="006C0598">
            <w:pPr>
              <w:spacing w:after="0" w:line="259" w:lineRule="auto"/>
              <w:ind w:left="0" w:right="0" w:firstLine="0"/>
              <w:jc w:val="left"/>
            </w:pPr>
            <w:r>
              <w:t xml:space="preserve">X, "Belgium will miss its climate targets," L'Echo, March 5, 2019 </w:t>
            </w:r>
          </w:p>
        </w:tc>
      </w:tr>
      <w:tr w:rsidR="00E933CB" w14:paraId="6510A6BC"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0116F83C" w14:textId="77777777" w:rsidR="004A3CD3" w:rsidRDefault="006C0598">
            <w:pPr>
              <w:spacing w:after="0" w:line="259" w:lineRule="auto"/>
              <w:ind w:left="50" w:right="0" w:firstLine="0"/>
              <w:jc w:val="left"/>
            </w:pPr>
            <w:r>
              <w:rPr>
                <w:rFonts w:ascii="Century Gothic" w:eastAsia="Century Gothic" w:hAnsi="Century Gothic" w:cs="Century Gothic"/>
                <w:b/>
                <w:sz w:val="20"/>
              </w:rPr>
              <w:t xml:space="preserve">K.8 </w:t>
            </w:r>
          </w:p>
        </w:tc>
        <w:tc>
          <w:tcPr>
            <w:tcW w:w="1277" w:type="dxa"/>
            <w:tcBorders>
              <w:top w:val="single" w:sz="4" w:space="0" w:color="000000"/>
              <w:left w:val="single" w:sz="4" w:space="0" w:color="000000"/>
              <w:bottom w:val="single" w:sz="4" w:space="0" w:color="000000"/>
              <w:right w:val="single" w:sz="4" w:space="0" w:color="000000"/>
            </w:tcBorders>
          </w:tcPr>
          <w:p w14:paraId="693DC8F9"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0253D4A0" w14:textId="77777777" w:rsidR="004A3CD3" w:rsidRDefault="006C0598">
            <w:pPr>
              <w:spacing w:after="0" w:line="259" w:lineRule="auto"/>
              <w:ind w:left="0" w:right="0" w:firstLine="0"/>
            </w:pPr>
            <w:r>
              <w:t xml:space="preserve">X, "Nieuwe Klimaatminister Zuhal Demir (N-VA) bekent: Vlaanderen haalt klimaatdoelen niet", </w:t>
            </w:r>
            <w:r>
              <w:rPr>
                <w:i/>
              </w:rPr>
              <w:t>De Morgen</w:t>
            </w:r>
            <w:r>
              <w:t xml:space="preserve">, 9 October 2019 </w:t>
            </w:r>
          </w:p>
        </w:tc>
      </w:tr>
      <w:tr w:rsidR="00E933CB" w14:paraId="4801435A"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4AD9655F" w14:textId="77777777" w:rsidR="004A3CD3" w:rsidRDefault="006C0598">
            <w:pPr>
              <w:spacing w:after="0" w:line="259" w:lineRule="auto"/>
              <w:ind w:left="50" w:right="0" w:firstLine="0"/>
              <w:jc w:val="left"/>
            </w:pPr>
            <w:r>
              <w:rPr>
                <w:rFonts w:ascii="Century Gothic" w:eastAsia="Century Gothic" w:hAnsi="Century Gothic" w:cs="Century Gothic"/>
                <w:b/>
                <w:sz w:val="20"/>
              </w:rPr>
              <w:t xml:space="preserve">K.9 </w:t>
            </w:r>
          </w:p>
        </w:tc>
        <w:tc>
          <w:tcPr>
            <w:tcW w:w="1277" w:type="dxa"/>
            <w:tcBorders>
              <w:top w:val="single" w:sz="4" w:space="0" w:color="000000"/>
              <w:left w:val="single" w:sz="4" w:space="0" w:color="000000"/>
              <w:bottom w:val="single" w:sz="4" w:space="0" w:color="000000"/>
              <w:right w:val="single" w:sz="4" w:space="0" w:color="000000"/>
            </w:tcBorders>
          </w:tcPr>
          <w:p w14:paraId="1112CDA6"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19680E82" w14:textId="77777777" w:rsidR="004A3CD3" w:rsidRDefault="006C0598">
            <w:pPr>
              <w:spacing w:after="0" w:line="259" w:lineRule="auto"/>
              <w:ind w:left="0" w:right="0" w:firstLine="0"/>
              <w:jc w:val="left"/>
            </w:pPr>
            <w:r>
              <w:t xml:space="preserve">M. MOORS, "Wie redt de beuk?", </w:t>
            </w:r>
            <w:r>
              <w:rPr>
                <w:i/>
              </w:rPr>
              <w:t xml:space="preserve">Vrt Nws </w:t>
            </w:r>
            <w:r>
              <w:t xml:space="preserve">10 November 2019 </w:t>
            </w:r>
          </w:p>
        </w:tc>
      </w:tr>
      <w:tr w:rsidR="00E933CB" w14:paraId="45358CE1" w14:textId="77777777">
        <w:trPr>
          <w:trHeight w:val="788"/>
        </w:trPr>
        <w:tc>
          <w:tcPr>
            <w:tcW w:w="674" w:type="dxa"/>
            <w:tcBorders>
              <w:top w:val="single" w:sz="4" w:space="0" w:color="000000"/>
              <w:left w:val="single" w:sz="4" w:space="0" w:color="000000"/>
              <w:bottom w:val="single" w:sz="4" w:space="0" w:color="000000"/>
              <w:right w:val="single" w:sz="4" w:space="0" w:color="000000"/>
            </w:tcBorders>
          </w:tcPr>
          <w:p w14:paraId="7381C163"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K.10 </w:t>
            </w:r>
          </w:p>
        </w:tc>
        <w:tc>
          <w:tcPr>
            <w:tcW w:w="1277" w:type="dxa"/>
            <w:tcBorders>
              <w:top w:val="single" w:sz="4" w:space="0" w:color="000000"/>
              <w:left w:val="single" w:sz="4" w:space="0" w:color="000000"/>
              <w:bottom w:val="single" w:sz="4" w:space="0" w:color="000000"/>
              <w:right w:val="single" w:sz="4" w:space="0" w:color="000000"/>
            </w:tcBorders>
          </w:tcPr>
          <w:p w14:paraId="53E4F02B"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10DE8F8B" w14:textId="77777777" w:rsidR="004A3CD3" w:rsidRDefault="006C0598">
            <w:pPr>
              <w:spacing w:after="0" w:line="259" w:lineRule="auto"/>
              <w:ind w:left="0" w:right="0" w:firstLine="0"/>
            </w:pPr>
            <w:r>
              <w:t xml:space="preserve">X., 'Hittegolf veroorzaakt hogere dierensterfte en terugval melk- en vleesproductie', Belga, 8 August 2019 </w:t>
            </w:r>
          </w:p>
        </w:tc>
      </w:tr>
      <w:tr w:rsidR="00E933CB" w14:paraId="0940F42D"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326A7539"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K.11 </w:t>
            </w:r>
          </w:p>
        </w:tc>
        <w:tc>
          <w:tcPr>
            <w:tcW w:w="1277" w:type="dxa"/>
            <w:tcBorders>
              <w:top w:val="single" w:sz="4" w:space="0" w:color="000000"/>
              <w:left w:val="single" w:sz="4" w:space="0" w:color="000000"/>
              <w:bottom w:val="single" w:sz="4" w:space="0" w:color="000000"/>
              <w:right w:val="single" w:sz="4" w:space="0" w:color="000000"/>
            </w:tcBorders>
          </w:tcPr>
          <w:p w14:paraId="391FCB3F"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13C50AED" w14:textId="77777777" w:rsidR="004A3CD3" w:rsidRDefault="006C0598">
            <w:pPr>
              <w:spacing w:after="0" w:line="259" w:lineRule="auto"/>
              <w:ind w:left="0" w:right="0" w:firstLine="0"/>
            </w:pPr>
            <w:r>
              <w:t xml:space="preserve">X., "Stijging zeeniveau bedreigt Belgische kust: 'Vlaanderen zal komende jaren moeilijke keuzes moeten maken'", </w:t>
            </w:r>
            <w:r>
              <w:rPr>
                <w:i/>
              </w:rPr>
              <w:t xml:space="preserve">Knack, </w:t>
            </w:r>
            <w:r>
              <w:t xml:space="preserve">27 September 2019 </w:t>
            </w:r>
          </w:p>
        </w:tc>
      </w:tr>
      <w:tr w:rsidR="00E933CB" w14:paraId="3ABABCB4"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1BE4202B"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K.12 </w:t>
            </w:r>
          </w:p>
        </w:tc>
        <w:tc>
          <w:tcPr>
            <w:tcW w:w="1277" w:type="dxa"/>
            <w:tcBorders>
              <w:top w:val="single" w:sz="4" w:space="0" w:color="000000"/>
              <w:left w:val="single" w:sz="4" w:space="0" w:color="000000"/>
              <w:bottom w:val="single" w:sz="4" w:space="0" w:color="000000"/>
              <w:right w:val="single" w:sz="4" w:space="0" w:color="000000"/>
            </w:tcBorders>
          </w:tcPr>
          <w:p w14:paraId="19B2BF7B"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79688B73" w14:textId="77777777" w:rsidR="004A3CD3" w:rsidRDefault="006C0598">
            <w:pPr>
              <w:spacing w:after="0" w:line="259" w:lineRule="auto"/>
              <w:ind w:left="0" w:right="0" w:firstLine="0"/>
            </w:pPr>
            <w:r>
              <w:t xml:space="preserve">X., "Part of Belgium flooded by 2050?", </w:t>
            </w:r>
            <w:r>
              <w:rPr>
                <w:i/>
              </w:rPr>
              <w:t xml:space="preserve">La Libre, </w:t>
            </w:r>
            <w:r>
              <w:t xml:space="preserve">30 October 2019, with update 31 October 2019 </w:t>
            </w:r>
          </w:p>
        </w:tc>
      </w:tr>
      <w:tr w:rsidR="00E933CB" w14:paraId="37EDEC82" w14:textId="77777777">
        <w:trPr>
          <w:trHeight w:val="1325"/>
        </w:trPr>
        <w:tc>
          <w:tcPr>
            <w:tcW w:w="674" w:type="dxa"/>
            <w:tcBorders>
              <w:top w:val="single" w:sz="4" w:space="0" w:color="000000"/>
              <w:left w:val="single" w:sz="4" w:space="0" w:color="000000"/>
              <w:bottom w:val="single" w:sz="4" w:space="0" w:color="000000"/>
              <w:right w:val="single" w:sz="4" w:space="0" w:color="000000"/>
            </w:tcBorders>
          </w:tcPr>
          <w:p w14:paraId="28E61E08"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K.13 </w:t>
            </w:r>
          </w:p>
        </w:tc>
        <w:tc>
          <w:tcPr>
            <w:tcW w:w="1277" w:type="dxa"/>
            <w:tcBorders>
              <w:top w:val="single" w:sz="4" w:space="0" w:color="000000"/>
              <w:left w:val="single" w:sz="4" w:space="0" w:color="000000"/>
              <w:bottom w:val="single" w:sz="4" w:space="0" w:color="000000"/>
              <w:right w:val="single" w:sz="4" w:space="0" w:color="000000"/>
            </w:tcBorders>
          </w:tcPr>
          <w:p w14:paraId="1F1AEE2D"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673002F2" w14:textId="77777777" w:rsidR="004A3CD3" w:rsidRDefault="006C0598">
            <w:pPr>
              <w:spacing w:after="0" w:line="259" w:lineRule="auto"/>
              <w:ind w:left="0" w:right="48" w:firstLine="0"/>
            </w:pPr>
            <w:r>
              <w:t xml:space="preserve">D. MINTEN, "Diagnose: klimaatziek. Behandeling: urgent. Bijna 1.000 artsen vragen dat ons land zijn klimaatinspanningen dringend verhoogt. 'De klimaatverandering zal de gezondheidskosten doen toenemen.'", </w:t>
            </w:r>
            <w:r>
              <w:rPr>
                <w:i/>
              </w:rPr>
              <w:t xml:space="preserve">De Standaard, </w:t>
            </w:r>
            <w:r>
              <w:t xml:space="preserve">10 oktober 2019 </w:t>
            </w:r>
          </w:p>
        </w:tc>
      </w:tr>
      <w:tr w:rsidR="00E933CB" w14:paraId="17F9237B" w14:textId="77777777">
        <w:trPr>
          <w:trHeight w:val="788"/>
        </w:trPr>
        <w:tc>
          <w:tcPr>
            <w:tcW w:w="674" w:type="dxa"/>
            <w:tcBorders>
              <w:top w:val="single" w:sz="4" w:space="0" w:color="000000"/>
              <w:left w:val="single" w:sz="4" w:space="0" w:color="000000"/>
              <w:bottom w:val="single" w:sz="4" w:space="0" w:color="000000"/>
              <w:right w:val="single" w:sz="4" w:space="0" w:color="000000"/>
            </w:tcBorders>
          </w:tcPr>
          <w:p w14:paraId="3D9714F6"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K.14 </w:t>
            </w:r>
          </w:p>
        </w:tc>
        <w:tc>
          <w:tcPr>
            <w:tcW w:w="1277" w:type="dxa"/>
            <w:tcBorders>
              <w:top w:val="single" w:sz="4" w:space="0" w:color="000000"/>
              <w:left w:val="single" w:sz="4" w:space="0" w:color="000000"/>
              <w:bottom w:val="single" w:sz="4" w:space="0" w:color="000000"/>
              <w:right w:val="single" w:sz="4" w:space="0" w:color="000000"/>
            </w:tcBorders>
          </w:tcPr>
          <w:p w14:paraId="680C041F"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3007028A" w14:textId="77777777" w:rsidR="004A3CD3" w:rsidRDefault="006C0598">
            <w:pPr>
              <w:spacing w:after="0" w:line="259" w:lineRule="auto"/>
              <w:ind w:left="0" w:right="0" w:firstLine="0"/>
            </w:pPr>
            <w:r>
              <w:t xml:space="preserve">D. BAERT, "België bij de slechte leerlingen voor hernieuwbare energie in Europa", </w:t>
            </w:r>
            <w:r>
              <w:rPr>
                <w:i/>
              </w:rPr>
              <w:t>VRT</w:t>
            </w:r>
            <w:r>
              <w:t xml:space="preserve">, 12 February 2019 </w:t>
            </w:r>
          </w:p>
        </w:tc>
      </w:tr>
      <w:tr w:rsidR="00E933CB" w14:paraId="0647F2E1"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4BD2D3C4"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K.15 </w:t>
            </w:r>
          </w:p>
        </w:tc>
        <w:tc>
          <w:tcPr>
            <w:tcW w:w="1277" w:type="dxa"/>
            <w:tcBorders>
              <w:top w:val="single" w:sz="4" w:space="0" w:color="000000"/>
              <w:left w:val="single" w:sz="4" w:space="0" w:color="000000"/>
              <w:bottom w:val="single" w:sz="4" w:space="0" w:color="000000"/>
              <w:right w:val="single" w:sz="4" w:space="0" w:color="000000"/>
            </w:tcBorders>
          </w:tcPr>
          <w:p w14:paraId="7212D4E0"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577D8AF0" w14:textId="77777777" w:rsidR="004A3CD3" w:rsidRDefault="006C0598">
            <w:pPr>
              <w:spacing w:after="0" w:line="259" w:lineRule="auto"/>
              <w:ind w:left="0" w:right="0" w:firstLine="0"/>
            </w:pPr>
            <w:r>
              <w:t xml:space="preserve">L. PAUWELS, "Belgische werkgelegenheid profiteert het meest van het Parijse klimaatakkoord", </w:t>
            </w:r>
            <w:r>
              <w:rPr>
                <w:i/>
              </w:rPr>
              <w:t>VRT</w:t>
            </w:r>
            <w:r>
              <w:t xml:space="preserve">, 13 February 2019 </w:t>
            </w:r>
          </w:p>
        </w:tc>
      </w:tr>
      <w:tr w:rsidR="00E933CB" w14:paraId="32F7D9D3"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113D657A"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K.16 </w:t>
            </w:r>
          </w:p>
        </w:tc>
        <w:tc>
          <w:tcPr>
            <w:tcW w:w="1277" w:type="dxa"/>
            <w:tcBorders>
              <w:top w:val="single" w:sz="4" w:space="0" w:color="000000"/>
              <w:left w:val="single" w:sz="4" w:space="0" w:color="000000"/>
              <w:bottom w:val="single" w:sz="4" w:space="0" w:color="000000"/>
              <w:right w:val="single" w:sz="4" w:space="0" w:color="000000"/>
            </w:tcBorders>
          </w:tcPr>
          <w:p w14:paraId="7B6AB496"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479ED255" w14:textId="77777777" w:rsidR="004A3CD3" w:rsidRDefault="006C0598">
            <w:pPr>
              <w:spacing w:after="0" w:line="259" w:lineRule="auto"/>
              <w:ind w:left="0" w:right="0" w:firstLine="0"/>
            </w:pPr>
            <w:r>
              <w:t xml:space="preserve">W. De MAESENEER, "1.000 Belgische artsen waarschuwen in open brief voor gevolgen van klimaatopwarming", VRT, 10 October 2019 </w:t>
            </w:r>
          </w:p>
        </w:tc>
      </w:tr>
      <w:tr w:rsidR="00E933CB" w14:paraId="494F66F8"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696C5069" w14:textId="77777777" w:rsidR="004A3CD3" w:rsidRDefault="006C0598">
            <w:pPr>
              <w:spacing w:after="0" w:line="259" w:lineRule="auto"/>
              <w:ind w:left="0" w:right="0" w:firstLine="0"/>
              <w:jc w:val="left"/>
            </w:pPr>
            <w:r>
              <w:rPr>
                <w:rFonts w:ascii="Century Gothic" w:eastAsia="Century Gothic" w:hAnsi="Century Gothic" w:cs="Century Gothic"/>
                <w:b/>
                <w:sz w:val="20"/>
              </w:rPr>
              <w:lastRenderedPageBreak/>
              <w:t xml:space="preserve">K.17 </w:t>
            </w:r>
          </w:p>
        </w:tc>
        <w:tc>
          <w:tcPr>
            <w:tcW w:w="1277" w:type="dxa"/>
            <w:tcBorders>
              <w:top w:val="single" w:sz="4" w:space="0" w:color="000000"/>
              <w:left w:val="single" w:sz="4" w:space="0" w:color="000000"/>
              <w:bottom w:val="single" w:sz="4" w:space="0" w:color="000000"/>
              <w:right w:val="single" w:sz="4" w:space="0" w:color="000000"/>
            </w:tcBorders>
          </w:tcPr>
          <w:p w14:paraId="7B55C766"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24CF8C8B" w14:textId="77777777" w:rsidR="004A3CD3" w:rsidRDefault="006C0598">
            <w:pPr>
              <w:spacing w:after="0" w:line="259" w:lineRule="auto"/>
              <w:ind w:left="0" w:right="0" w:firstLine="0"/>
            </w:pPr>
            <w:r>
              <w:t xml:space="preserve">X., "Sociaal-Economische Raad Vlaanderen: 'Schuif de klimaatpatat niet door'", Knack, 3 November 2019 </w:t>
            </w:r>
          </w:p>
        </w:tc>
      </w:tr>
      <w:tr w:rsidR="00E933CB" w14:paraId="481FC2BE"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062E13F6"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K.18 </w:t>
            </w:r>
          </w:p>
        </w:tc>
        <w:tc>
          <w:tcPr>
            <w:tcW w:w="1277" w:type="dxa"/>
            <w:tcBorders>
              <w:top w:val="single" w:sz="4" w:space="0" w:color="000000"/>
              <w:left w:val="single" w:sz="4" w:space="0" w:color="000000"/>
              <w:bottom w:val="single" w:sz="4" w:space="0" w:color="000000"/>
              <w:right w:val="single" w:sz="4" w:space="0" w:color="000000"/>
            </w:tcBorders>
          </w:tcPr>
          <w:p w14:paraId="30C06C01"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60FC3F93" w14:textId="77777777" w:rsidR="004A3CD3" w:rsidRDefault="006C0598">
            <w:pPr>
              <w:spacing w:after="0" w:line="259" w:lineRule="auto"/>
              <w:ind w:left="0" w:right="0" w:firstLine="0"/>
            </w:pPr>
            <w:r>
              <w:t xml:space="preserve">W. WINCKELMANS, "Vlaams klimaatplan kost tot 7 miljard euro per jaar", De Standaard, 10 december 2019 </w:t>
            </w:r>
          </w:p>
        </w:tc>
      </w:tr>
      <w:tr w:rsidR="00E933CB" w14:paraId="3C67A3F0" w14:textId="77777777">
        <w:trPr>
          <w:trHeight w:val="1057"/>
        </w:trPr>
        <w:tc>
          <w:tcPr>
            <w:tcW w:w="674" w:type="dxa"/>
            <w:tcBorders>
              <w:top w:val="single" w:sz="4" w:space="0" w:color="000000"/>
              <w:left w:val="single" w:sz="4" w:space="0" w:color="000000"/>
              <w:bottom w:val="single" w:sz="4" w:space="0" w:color="000000"/>
              <w:right w:val="single" w:sz="4" w:space="0" w:color="000000"/>
            </w:tcBorders>
          </w:tcPr>
          <w:p w14:paraId="057ED2C9"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K.19 </w:t>
            </w:r>
          </w:p>
        </w:tc>
        <w:tc>
          <w:tcPr>
            <w:tcW w:w="1277" w:type="dxa"/>
            <w:tcBorders>
              <w:top w:val="single" w:sz="4" w:space="0" w:color="000000"/>
              <w:left w:val="single" w:sz="4" w:space="0" w:color="000000"/>
              <w:bottom w:val="single" w:sz="4" w:space="0" w:color="000000"/>
              <w:right w:val="single" w:sz="4" w:space="0" w:color="000000"/>
            </w:tcBorders>
          </w:tcPr>
          <w:p w14:paraId="6D6921BD"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75403CC1" w14:textId="77777777" w:rsidR="004A3CD3" w:rsidRDefault="006C0598">
            <w:pPr>
              <w:spacing w:after="0" w:line="259" w:lineRule="auto"/>
              <w:ind w:left="0" w:right="0" w:firstLine="0"/>
              <w:jc w:val="left"/>
            </w:pPr>
            <w:r>
              <w:t xml:space="preserve">A. DE GREEF, 'Getuigenverslag van een klimaatmisdaad. Schuldig verzuim of hoe het klimaat in 1989 niet gered werd', De Standaard Weekend Magazine 2019/19 </w:t>
            </w:r>
          </w:p>
        </w:tc>
      </w:tr>
      <w:tr w:rsidR="00E933CB" w14:paraId="6F379B67"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6F08F059"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K.20 </w:t>
            </w:r>
          </w:p>
        </w:tc>
        <w:tc>
          <w:tcPr>
            <w:tcW w:w="1277" w:type="dxa"/>
            <w:tcBorders>
              <w:top w:val="single" w:sz="4" w:space="0" w:color="000000"/>
              <w:left w:val="single" w:sz="4" w:space="0" w:color="000000"/>
              <w:bottom w:val="single" w:sz="4" w:space="0" w:color="000000"/>
              <w:right w:val="single" w:sz="4" w:space="0" w:color="000000"/>
            </w:tcBorders>
          </w:tcPr>
          <w:p w14:paraId="44F96F15"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30275012" w14:textId="77777777" w:rsidR="004A3CD3" w:rsidRDefault="006C0598">
            <w:pPr>
              <w:spacing w:after="0" w:line="259" w:lineRule="auto"/>
              <w:ind w:left="0" w:right="0" w:firstLine="0"/>
            </w:pPr>
            <w:r>
              <w:t xml:space="preserve">W. WINCKELMANS, "Vlaams klimaatplan kost tot 7 miljard euro per jaar", De Standaard, 10 december 2019 </w:t>
            </w:r>
          </w:p>
        </w:tc>
      </w:tr>
      <w:tr w:rsidR="00E933CB" w14:paraId="39617AFC"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4351A897"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K.21 </w:t>
            </w:r>
          </w:p>
        </w:tc>
        <w:tc>
          <w:tcPr>
            <w:tcW w:w="1277" w:type="dxa"/>
            <w:tcBorders>
              <w:top w:val="single" w:sz="4" w:space="0" w:color="000000"/>
              <w:left w:val="single" w:sz="4" w:space="0" w:color="000000"/>
              <w:bottom w:val="single" w:sz="4" w:space="0" w:color="000000"/>
              <w:right w:val="single" w:sz="4" w:space="0" w:color="000000"/>
            </w:tcBorders>
          </w:tcPr>
          <w:p w14:paraId="2EBD9188"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3984DEBB" w14:textId="77777777" w:rsidR="004A3CD3" w:rsidRDefault="006C0598">
            <w:pPr>
              <w:spacing w:after="0" w:line="259" w:lineRule="auto"/>
              <w:ind w:left="0" w:right="0" w:firstLine="0"/>
            </w:pPr>
            <w:r>
              <w:t xml:space="preserve">A. WYNS, "Dit is wat de wereld beloofde op de New York Klimaattop", </w:t>
            </w:r>
            <w:r>
              <w:rPr>
                <w:i/>
              </w:rPr>
              <w:t>MO* Magazine</w:t>
            </w:r>
            <w:r>
              <w:t xml:space="preserve">, 4 oktober 2019  </w:t>
            </w:r>
          </w:p>
        </w:tc>
      </w:tr>
      <w:tr w:rsidR="00E933CB" w14:paraId="270EEA15" w14:textId="77777777">
        <w:trPr>
          <w:trHeight w:val="788"/>
        </w:trPr>
        <w:tc>
          <w:tcPr>
            <w:tcW w:w="674" w:type="dxa"/>
            <w:tcBorders>
              <w:top w:val="single" w:sz="4" w:space="0" w:color="000000"/>
              <w:left w:val="single" w:sz="4" w:space="0" w:color="000000"/>
              <w:bottom w:val="single" w:sz="4" w:space="0" w:color="000000"/>
              <w:right w:val="single" w:sz="4" w:space="0" w:color="000000"/>
            </w:tcBorders>
          </w:tcPr>
          <w:p w14:paraId="6BB7E139"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K.22 </w:t>
            </w:r>
          </w:p>
        </w:tc>
        <w:tc>
          <w:tcPr>
            <w:tcW w:w="1277" w:type="dxa"/>
            <w:tcBorders>
              <w:top w:val="single" w:sz="4" w:space="0" w:color="000000"/>
              <w:left w:val="single" w:sz="4" w:space="0" w:color="000000"/>
              <w:bottom w:val="single" w:sz="4" w:space="0" w:color="000000"/>
              <w:right w:val="single" w:sz="4" w:space="0" w:color="000000"/>
            </w:tcBorders>
          </w:tcPr>
          <w:p w14:paraId="08483315" w14:textId="77777777" w:rsidR="004A3CD3" w:rsidRDefault="006C0598">
            <w:pPr>
              <w:spacing w:after="0" w:line="259" w:lineRule="auto"/>
              <w:ind w:left="0" w:right="78"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54DC6B58" w14:textId="77777777" w:rsidR="004A3CD3" w:rsidRDefault="006C0598">
            <w:pPr>
              <w:spacing w:after="0" w:line="259" w:lineRule="auto"/>
              <w:ind w:left="0" w:right="0" w:firstLine="0"/>
            </w:pPr>
            <w:r>
              <w:t xml:space="preserve">M. de Meulenaere, 'Global warming: the planet is tipping towards an irreversible disaster, scientists warn', </w:t>
            </w:r>
            <w:r>
              <w:rPr>
                <w:i/>
              </w:rPr>
              <w:t>Le Soir</w:t>
            </w:r>
            <w:r>
              <w:t xml:space="preserve">, 28 November 2019 </w:t>
            </w:r>
          </w:p>
        </w:tc>
      </w:tr>
    </w:tbl>
    <w:p w14:paraId="0236FCAD" w14:textId="77777777" w:rsidR="00E933CB" w:rsidRDefault="00825B93">
      <w:pPr>
        <w:spacing w:after="98" w:line="259" w:lineRule="auto"/>
        <w:ind w:left="1030" w:right="0" w:firstLine="0"/>
      </w:pPr>
      <w:r>
        <w:t xml:space="preserve"> </w:t>
      </w:r>
    </w:p>
    <w:p w14:paraId="1288328C" w14:textId="77777777" w:rsidR="00E933CB" w:rsidRDefault="00825B93">
      <w:pPr>
        <w:spacing w:after="98" w:line="259" w:lineRule="auto"/>
        <w:ind w:left="1030" w:right="0" w:firstLine="0"/>
      </w:pPr>
      <w:r>
        <w:t xml:space="preserve"> </w:t>
      </w:r>
    </w:p>
    <w:p w14:paraId="0E07D319" w14:textId="77777777" w:rsidR="00E933CB" w:rsidRDefault="00825B93">
      <w:pPr>
        <w:spacing w:after="0" w:line="259" w:lineRule="auto"/>
        <w:ind w:left="1030" w:right="0" w:firstLine="0"/>
      </w:pPr>
      <w:r>
        <w:t xml:space="preserve"> </w:t>
      </w:r>
    </w:p>
    <w:tbl>
      <w:tblPr>
        <w:tblStyle w:val="TableGrid"/>
        <w:tblW w:w="9182" w:type="dxa"/>
        <w:tblInd w:w="468" w:type="dxa"/>
        <w:tblCellMar>
          <w:top w:w="48" w:type="dxa"/>
          <w:left w:w="108" w:type="dxa"/>
          <w:right w:w="8" w:type="dxa"/>
        </w:tblCellMar>
        <w:tblLook w:val="04A0" w:firstRow="1" w:lastRow="0" w:firstColumn="1" w:lastColumn="0" w:noHBand="0" w:noVBand="1"/>
      </w:tblPr>
      <w:tblGrid>
        <w:gridCol w:w="674"/>
        <w:gridCol w:w="1277"/>
        <w:gridCol w:w="7231"/>
      </w:tblGrid>
      <w:tr w:rsidR="00E933CB" w14:paraId="270FD155" w14:textId="77777777">
        <w:trPr>
          <w:trHeight w:val="571"/>
        </w:trPr>
        <w:tc>
          <w:tcPr>
            <w:tcW w:w="674" w:type="dxa"/>
            <w:tcBorders>
              <w:top w:val="single" w:sz="4" w:space="0" w:color="000000"/>
              <w:left w:val="single" w:sz="4" w:space="0" w:color="000000"/>
              <w:bottom w:val="single" w:sz="4" w:space="0" w:color="000000"/>
              <w:right w:val="nil"/>
            </w:tcBorders>
          </w:tcPr>
          <w:p w14:paraId="5D3A0CF8" w14:textId="77777777" w:rsidR="00E933CB" w:rsidRDefault="00E933CB">
            <w:pPr>
              <w:spacing w:after="160" w:line="259" w:lineRule="auto"/>
              <w:ind w:left="0" w:right="0" w:firstLine="0"/>
              <w:jc w:val="left"/>
            </w:pPr>
          </w:p>
        </w:tc>
        <w:tc>
          <w:tcPr>
            <w:tcW w:w="1277" w:type="dxa"/>
            <w:tcBorders>
              <w:top w:val="single" w:sz="4" w:space="0" w:color="000000"/>
              <w:left w:val="nil"/>
              <w:bottom w:val="single" w:sz="4" w:space="0" w:color="000000"/>
              <w:right w:val="nil"/>
            </w:tcBorders>
          </w:tcPr>
          <w:p w14:paraId="17106A5A" w14:textId="77777777" w:rsidR="00E933CB" w:rsidRDefault="00E933CB">
            <w:pPr>
              <w:spacing w:after="160" w:line="259" w:lineRule="auto"/>
              <w:ind w:left="0" w:right="0" w:firstLine="0"/>
              <w:jc w:val="left"/>
            </w:pPr>
          </w:p>
        </w:tc>
        <w:tc>
          <w:tcPr>
            <w:tcW w:w="7230" w:type="dxa"/>
            <w:tcBorders>
              <w:top w:val="single" w:sz="4" w:space="0" w:color="000000"/>
              <w:left w:val="nil"/>
              <w:bottom w:val="single" w:sz="4" w:space="0" w:color="000000"/>
              <w:right w:val="single" w:sz="4" w:space="0" w:color="000000"/>
            </w:tcBorders>
          </w:tcPr>
          <w:p w14:paraId="6BCCB384" w14:textId="77777777" w:rsidR="004A3CD3" w:rsidRDefault="006C0598">
            <w:pPr>
              <w:spacing w:after="0" w:line="259" w:lineRule="auto"/>
              <w:ind w:left="601" w:right="0" w:firstLine="0"/>
              <w:jc w:val="left"/>
            </w:pPr>
            <w:r>
              <w:rPr>
                <w:b/>
                <w:sz w:val="40"/>
              </w:rPr>
              <w:t xml:space="preserve">L. </w:t>
            </w:r>
            <w:r>
              <w:rPr>
                <w:b/>
                <w:sz w:val="40"/>
                <w:u w:val="single" w:color="000000"/>
              </w:rPr>
              <w:t xml:space="preserve">International press </w:t>
            </w:r>
          </w:p>
        </w:tc>
      </w:tr>
      <w:tr w:rsidR="00E933CB" w14:paraId="59CDEC0E"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24DE5F74" w14:textId="77777777" w:rsidR="00E933CB" w:rsidRDefault="00825B93">
            <w:pPr>
              <w:spacing w:after="0" w:line="259" w:lineRule="auto"/>
              <w:ind w:left="0" w:right="115"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200BA1D" w14:textId="77777777" w:rsidR="004A3CD3" w:rsidRDefault="006C0598">
            <w:pPr>
              <w:spacing w:after="0" w:line="259" w:lineRule="auto"/>
              <w:ind w:left="0" w:right="135" w:firstLine="0"/>
              <w:jc w:val="center"/>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tcPr>
          <w:p w14:paraId="70F09D42" w14:textId="77777777" w:rsidR="004A3CD3" w:rsidRDefault="006C0598">
            <w:pPr>
              <w:spacing w:after="0" w:line="259" w:lineRule="auto"/>
              <w:ind w:left="0" w:right="0" w:firstLine="0"/>
              <w:jc w:val="left"/>
            </w:pPr>
            <w:r>
              <w:rPr>
                <w:b/>
              </w:rPr>
              <w:t xml:space="preserve">Description </w:t>
            </w:r>
          </w:p>
        </w:tc>
      </w:tr>
      <w:tr w:rsidR="00E933CB" w14:paraId="6D04532B"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4BE5C866" w14:textId="77777777" w:rsidR="004A3CD3" w:rsidRDefault="006C0598">
            <w:pPr>
              <w:spacing w:after="0" w:line="259" w:lineRule="auto"/>
              <w:ind w:left="0" w:right="168" w:firstLine="0"/>
              <w:jc w:val="center"/>
            </w:pPr>
            <w:r>
              <w:rPr>
                <w:rFonts w:ascii="Century Gothic" w:eastAsia="Century Gothic" w:hAnsi="Century Gothic" w:cs="Century Gothic"/>
                <w:b/>
                <w:sz w:val="20"/>
              </w:rPr>
              <w:t xml:space="preserve">L.1 </w:t>
            </w:r>
          </w:p>
        </w:tc>
        <w:tc>
          <w:tcPr>
            <w:tcW w:w="1277" w:type="dxa"/>
            <w:tcBorders>
              <w:top w:val="single" w:sz="4" w:space="0" w:color="000000"/>
              <w:left w:val="single" w:sz="4" w:space="0" w:color="000000"/>
              <w:bottom w:val="single" w:sz="4" w:space="0" w:color="000000"/>
              <w:right w:val="single" w:sz="4" w:space="0" w:color="000000"/>
            </w:tcBorders>
          </w:tcPr>
          <w:p w14:paraId="4945DFCC" w14:textId="77777777" w:rsidR="004A3CD3" w:rsidRDefault="006C0598">
            <w:pPr>
              <w:spacing w:after="0" w:line="259" w:lineRule="auto"/>
              <w:ind w:left="0" w:right="132" w:firstLine="0"/>
              <w:jc w:val="center"/>
            </w:pPr>
            <w:r>
              <w:t xml:space="preserve">2007 </w:t>
            </w:r>
          </w:p>
        </w:tc>
        <w:tc>
          <w:tcPr>
            <w:tcW w:w="7230" w:type="dxa"/>
            <w:tcBorders>
              <w:top w:val="single" w:sz="4" w:space="0" w:color="000000"/>
              <w:left w:val="single" w:sz="4" w:space="0" w:color="000000"/>
              <w:bottom w:val="single" w:sz="4" w:space="0" w:color="000000"/>
              <w:right w:val="single" w:sz="4" w:space="0" w:color="000000"/>
            </w:tcBorders>
          </w:tcPr>
          <w:p w14:paraId="18A780C9" w14:textId="77777777" w:rsidR="004A3CD3" w:rsidRDefault="006C0598">
            <w:pPr>
              <w:spacing w:after="0" w:line="259" w:lineRule="auto"/>
              <w:ind w:left="0" w:right="0" w:firstLine="0"/>
              <w:jc w:val="left"/>
            </w:pPr>
            <w:r>
              <w:t xml:space="preserve">X., "Bush aide says warming man-made", </w:t>
            </w:r>
            <w:r>
              <w:rPr>
                <w:i/>
              </w:rPr>
              <w:t xml:space="preserve">BBC, </w:t>
            </w:r>
            <w:r>
              <w:t xml:space="preserve">15 july 2007 </w:t>
            </w:r>
          </w:p>
        </w:tc>
      </w:tr>
      <w:tr w:rsidR="00E933CB" w14:paraId="572842F0" w14:textId="77777777">
        <w:trPr>
          <w:trHeight w:val="684"/>
        </w:trPr>
        <w:tc>
          <w:tcPr>
            <w:tcW w:w="674" w:type="dxa"/>
            <w:tcBorders>
              <w:top w:val="single" w:sz="4" w:space="0" w:color="000000"/>
              <w:left w:val="single" w:sz="4" w:space="0" w:color="000000"/>
              <w:bottom w:val="single" w:sz="4" w:space="0" w:color="000000"/>
              <w:right w:val="single" w:sz="4" w:space="0" w:color="000000"/>
            </w:tcBorders>
          </w:tcPr>
          <w:p w14:paraId="59F782A5" w14:textId="77777777" w:rsidR="004A3CD3" w:rsidRDefault="006C0598">
            <w:pPr>
              <w:spacing w:after="0" w:line="259" w:lineRule="auto"/>
              <w:ind w:left="0" w:right="168" w:firstLine="0"/>
              <w:jc w:val="center"/>
            </w:pPr>
            <w:r>
              <w:rPr>
                <w:rFonts w:ascii="Century Gothic" w:eastAsia="Century Gothic" w:hAnsi="Century Gothic" w:cs="Century Gothic"/>
                <w:b/>
                <w:sz w:val="20"/>
              </w:rPr>
              <w:t xml:space="preserve">L.2 </w:t>
            </w:r>
          </w:p>
        </w:tc>
        <w:tc>
          <w:tcPr>
            <w:tcW w:w="1277" w:type="dxa"/>
            <w:tcBorders>
              <w:top w:val="single" w:sz="4" w:space="0" w:color="000000"/>
              <w:left w:val="single" w:sz="4" w:space="0" w:color="000000"/>
              <w:bottom w:val="single" w:sz="4" w:space="0" w:color="000000"/>
              <w:right w:val="single" w:sz="4" w:space="0" w:color="000000"/>
            </w:tcBorders>
          </w:tcPr>
          <w:p w14:paraId="075BCEAF" w14:textId="77777777" w:rsidR="004A3CD3" w:rsidRDefault="006C0598">
            <w:pPr>
              <w:spacing w:after="0" w:line="259" w:lineRule="auto"/>
              <w:ind w:left="0" w:right="132" w:firstLine="0"/>
              <w:jc w:val="center"/>
            </w:pPr>
            <w:r>
              <w:t xml:space="preserve">2007 </w:t>
            </w:r>
          </w:p>
        </w:tc>
        <w:tc>
          <w:tcPr>
            <w:tcW w:w="7230" w:type="dxa"/>
            <w:tcBorders>
              <w:top w:val="single" w:sz="4" w:space="0" w:color="000000"/>
              <w:left w:val="single" w:sz="4" w:space="0" w:color="000000"/>
              <w:bottom w:val="single" w:sz="4" w:space="0" w:color="000000"/>
              <w:right w:val="single" w:sz="4" w:space="0" w:color="000000"/>
            </w:tcBorders>
          </w:tcPr>
          <w:p w14:paraId="6814C1C6" w14:textId="77777777" w:rsidR="004A3CD3" w:rsidRDefault="006C0598">
            <w:pPr>
              <w:spacing w:after="20" w:line="259" w:lineRule="auto"/>
              <w:ind w:left="0" w:right="0" w:firstLine="0"/>
              <w:jc w:val="left"/>
            </w:pPr>
            <w:r>
              <w:rPr>
                <w:sz w:val="24"/>
              </w:rPr>
              <w:t xml:space="preserve">McKIBBEN(B.), "Warning on Warming", </w:t>
            </w:r>
            <w:r>
              <w:rPr>
                <w:i/>
                <w:sz w:val="24"/>
              </w:rPr>
              <w:t xml:space="preserve">The New York Review of Books, </w:t>
            </w:r>
          </w:p>
          <w:p w14:paraId="7F5ABD97" w14:textId="77777777" w:rsidR="004A3CD3" w:rsidRDefault="006C0598">
            <w:pPr>
              <w:spacing w:after="0" w:line="259" w:lineRule="auto"/>
              <w:ind w:left="0" w:right="0" w:firstLine="0"/>
              <w:jc w:val="left"/>
            </w:pPr>
            <w:r>
              <w:rPr>
                <w:sz w:val="24"/>
              </w:rPr>
              <w:t xml:space="preserve">54 (4), 15 March 2007 </w:t>
            </w:r>
          </w:p>
        </w:tc>
      </w:tr>
      <w:tr w:rsidR="00E933CB" w14:paraId="39B4E1E4" w14:textId="77777777">
        <w:trPr>
          <w:trHeight w:val="788"/>
        </w:trPr>
        <w:tc>
          <w:tcPr>
            <w:tcW w:w="674" w:type="dxa"/>
            <w:tcBorders>
              <w:top w:val="single" w:sz="4" w:space="0" w:color="000000"/>
              <w:left w:val="single" w:sz="4" w:space="0" w:color="000000"/>
              <w:bottom w:val="single" w:sz="4" w:space="0" w:color="000000"/>
              <w:right w:val="single" w:sz="4" w:space="0" w:color="000000"/>
            </w:tcBorders>
          </w:tcPr>
          <w:p w14:paraId="3E9CDF68" w14:textId="77777777" w:rsidR="004A3CD3" w:rsidRDefault="006C0598">
            <w:pPr>
              <w:spacing w:after="0" w:line="259" w:lineRule="auto"/>
              <w:ind w:left="0" w:right="168" w:firstLine="0"/>
              <w:jc w:val="center"/>
            </w:pPr>
            <w:r>
              <w:rPr>
                <w:rFonts w:ascii="Century Gothic" w:eastAsia="Century Gothic" w:hAnsi="Century Gothic" w:cs="Century Gothic"/>
                <w:b/>
                <w:sz w:val="20"/>
              </w:rPr>
              <w:t xml:space="preserve">L.3 </w:t>
            </w:r>
          </w:p>
        </w:tc>
        <w:tc>
          <w:tcPr>
            <w:tcW w:w="1277" w:type="dxa"/>
            <w:tcBorders>
              <w:top w:val="single" w:sz="4" w:space="0" w:color="000000"/>
              <w:left w:val="single" w:sz="4" w:space="0" w:color="000000"/>
              <w:bottom w:val="single" w:sz="4" w:space="0" w:color="000000"/>
              <w:right w:val="single" w:sz="4" w:space="0" w:color="000000"/>
            </w:tcBorders>
          </w:tcPr>
          <w:p w14:paraId="23337A0A" w14:textId="77777777" w:rsidR="004A3CD3" w:rsidRDefault="006C0598">
            <w:pPr>
              <w:spacing w:after="0" w:line="259" w:lineRule="auto"/>
              <w:ind w:left="0" w:right="132" w:firstLine="0"/>
              <w:jc w:val="center"/>
            </w:pPr>
            <w:r>
              <w:t xml:space="preserve">2012 </w:t>
            </w:r>
          </w:p>
        </w:tc>
        <w:tc>
          <w:tcPr>
            <w:tcW w:w="7230" w:type="dxa"/>
            <w:tcBorders>
              <w:top w:val="single" w:sz="4" w:space="0" w:color="000000"/>
              <w:left w:val="single" w:sz="4" w:space="0" w:color="000000"/>
              <w:bottom w:val="single" w:sz="4" w:space="0" w:color="000000"/>
              <w:right w:val="single" w:sz="4" w:space="0" w:color="000000"/>
            </w:tcBorders>
            <w:vAlign w:val="center"/>
          </w:tcPr>
          <w:p w14:paraId="08DDA2A2" w14:textId="77777777" w:rsidR="004A3CD3" w:rsidRDefault="006C0598">
            <w:pPr>
              <w:spacing w:after="0" w:line="259" w:lineRule="auto"/>
              <w:ind w:left="0" w:right="0" w:firstLine="0"/>
            </w:pPr>
            <w:r>
              <w:t xml:space="preserve">D. KEATING, "Poland block's EU's low carbon roadmap", Politico, 3 October 2012 </w:t>
            </w:r>
          </w:p>
        </w:tc>
      </w:tr>
      <w:tr w:rsidR="00E933CB" w14:paraId="47A4589F"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6B4AB4C7" w14:textId="77777777" w:rsidR="004A3CD3" w:rsidRDefault="006C0598">
            <w:pPr>
              <w:spacing w:after="0" w:line="259" w:lineRule="auto"/>
              <w:ind w:left="0" w:right="168" w:firstLine="0"/>
              <w:jc w:val="center"/>
            </w:pPr>
            <w:r>
              <w:rPr>
                <w:rFonts w:ascii="Century Gothic" w:eastAsia="Century Gothic" w:hAnsi="Century Gothic" w:cs="Century Gothic"/>
                <w:b/>
                <w:sz w:val="20"/>
              </w:rPr>
              <w:t xml:space="preserve">L.4 </w:t>
            </w:r>
          </w:p>
        </w:tc>
        <w:tc>
          <w:tcPr>
            <w:tcW w:w="1277" w:type="dxa"/>
            <w:tcBorders>
              <w:top w:val="single" w:sz="4" w:space="0" w:color="000000"/>
              <w:left w:val="single" w:sz="4" w:space="0" w:color="000000"/>
              <w:bottom w:val="single" w:sz="4" w:space="0" w:color="000000"/>
              <w:right w:val="single" w:sz="4" w:space="0" w:color="000000"/>
            </w:tcBorders>
          </w:tcPr>
          <w:p w14:paraId="2C06250A" w14:textId="77777777" w:rsidR="004A3CD3" w:rsidRDefault="006C0598">
            <w:pPr>
              <w:spacing w:after="0" w:line="259" w:lineRule="auto"/>
              <w:ind w:left="0" w:right="132" w:firstLine="0"/>
              <w:jc w:val="center"/>
            </w:pPr>
            <w:r>
              <w:t xml:space="preserve">2013 </w:t>
            </w:r>
          </w:p>
        </w:tc>
        <w:tc>
          <w:tcPr>
            <w:tcW w:w="7230" w:type="dxa"/>
            <w:tcBorders>
              <w:top w:val="single" w:sz="4" w:space="0" w:color="000000"/>
              <w:left w:val="single" w:sz="4" w:space="0" w:color="000000"/>
              <w:bottom w:val="single" w:sz="4" w:space="0" w:color="000000"/>
              <w:right w:val="single" w:sz="4" w:space="0" w:color="000000"/>
            </w:tcBorders>
          </w:tcPr>
          <w:p w14:paraId="02C7B618" w14:textId="77777777" w:rsidR="004A3CD3" w:rsidRDefault="006C0598">
            <w:pPr>
              <w:spacing w:after="19" w:line="259" w:lineRule="auto"/>
              <w:ind w:left="0" w:right="0" w:firstLine="0"/>
              <w:jc w:val="left"/>
            </w:pPr>
            <w:r>
              <w:t xml:space="preserve">X., "Nicolas Stern: 'I got it wrong on climate change - it's far, far worse'", </w:t>
            </w:r>
            <w:r>
              <w:rPr>
                <w:i/>
              </w:rPr>
              <w:t xml:space="preserve">The </w:t>
            </w:r>
          </w:p>
          <w:p w14:paraId="42A178CE" w14:textId="77777777" w:rsidR="004A3CD3" w:rsidRDefault="006C0598">
            <w:pPr>
              <w:spacing w:after="0" w:line="259" w:lineRule="auto"/>
              <w:ind w:left="0" w:right="0" w:firstLine="0"/>
              <w:jc w:val="left"/>
            </w:pPr>
            <w:r>
              <w:rPr>
                <w:i/>
              </w:rPr>
              <w:t>Guardian</w:t>
            </w:r>
            <w:r>
              <w:t xml:space="preserve">, 26 Jan 2013 </w:t>
            </w:r>
          </w:p>
        </w:tc>
      </w:tr>
      <w:tr w:rsidR="00E933CB" w14:paraId="112D224D"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06E897D1" w14:textId="77777777" w:rsidR="004A3CD3" w:rsidRDefault="006C0598">
            <w:pPr>
              <w:spacing w:after="0" w:line="259" w:lineRule="auto"/>
              <w:ind w:left="0" w:right="168" w:firstLine="0"/>
              <w:jc w:val="center"/>
            </w:pPr>
            <w:r>
              <w:rPr>
                <w:rFonts w:ascii="Century Gothic" w:eastAsia="Century Gothic" w:hAnsi="Century Gothic" w:cs="Century Gothic"/>
                <w:b/>
                <w:sz w:val="20"/>
              </w:rPr>
              <w:t xml:space="preserve">L.5 </w:t>
            </w:r>
          </w:p>
        </w:tc>
        <w:tc>
          <w:tcPr>
            <w:tcW w:w="1277" w:type="dxa"/>
            <w:tcBorders>
              <w:top w:val="single" w:sz="4" w:space="0" w:color="000000"/>
              <w:left w:val="single" w:sz="4" w:space="0" w:color="000000"/>
              <w:bottom w:val="single" w:sz="4" w:space="0" w:color="000000"/>
              <w:right w:val="single" w:sz="4" w:space="0" w:color="000000"/>
            </w:tcBorders>
          </w:tcPr>
          <w:p w14:paraId="2414EE6A" w14:textId="77777777" w:rsidR="004A3CD3" w:rsidRDefault="006C0598">
            <w:pPr>
              <w:spacing w:after="0" w:line="259" w:lineRule="auto"/>
              <w:ind w:left="0" w:right="132" w:firstLine="0"/>
              <w:jc w:val="center"/>
            </w:pPr>
            <w:r>
              <w:t xml:space="preserve">2016 </w:t>
            </w:r>
          </w:p>
        </w:tc>
        <w:tc>
          <w:tcPr>
            <w:tcW w:w="7230" w:type="dxa"/>
            <w:tcBorders>
              <w:top w:val="single" w:sz="4" w:space="0" w:color="000000"/>
              <w:left w:val="single" w:sz="4" w:space="0" w:color="000000"/>
              <w:bottom w:val="single" w:sz="4" w:space="0" w:color="000000"/>
              <w:right w:val="single" w:sz="4" w:space="0" w:color="000000"/>
            </w:tcBorders>
            <w:vAlign w:val="center"/>
          </w:tcPr>
          <w:p w14:paraId="520B28E8" w14:textId="77777777" w:rsidR="004A3CD3" w:rsidRDefault="006C0598">
            <w:pPr>
              <w:spacing w:after="0" w:line="259" w:lineRule="auto"/>
              <w:ind w:left="0" w:right="0" w:firstLine="0"/>
            </w:pPr>
            <w:r>
              <w:t xml:space="preserve">A. Nelsen, "Norway pledges to become climate neutral by 2030", </w:t>
            </w:r>
            <w:r>
              <w:rPr>
                <w:i/>
              </w:rPr>
              <w:t>The Guardian</w:t>
            </w:r>
            <w:r>
              <w:t xml:space="preserve">, 15 june 2016 </w:t>
            </w:r>
          </w:p>
        </w:tc>
      </w:tr>
      <w:tr w:rsidR="00E933CB" w14:paraId="39DBFF30"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0B89AB88" w14:textId="77777777" w:rsidR="004A3CD3" w:rsidRDefault="006C0598">
            <w:pPr>
              <w:spacing w:after="0" w:line="259" w:lineRule="auto"/>
              <w:ind w:left="0" w:right="168" w:firstLine="0"/>
              <w:jc w:val="center"/>
            </w:pPr>
            <w:r>
              <w:rPr>
                <w:rFonts w:ascii="Century Gothic" w:eastAsia="Century Gothic" w:hAnsi="Century Gothic" w:cs="Century Gothic"/>
                <w:b/>
                <w:sz w:val="20"/>
              </w:rPr>
              <w:t xml:space="preserve">L.6 </w:t>
            </w:r>
          </w:p>
        </w:tc>
        <w:tc>
          <w:tcPr>
            <w:tcW w:w="1277" w:type="dxa"/>
            <w:tcBorders>
              <w:top w:val="single" w:sz="4" w:space="0" w:color="000000"/>
              <w:left w:val="single" w:sz="4" w:space="0" w:color="000000"/>
              <w:bottom w:val="single" w:sz="4" w:space="0" w:color="000000"/>
              <w:right w:val="single" w:sz="4" w:space="0" w:color="000000"/>
            </w:tcBorders>
          </w:tcPr>
          <w:p w14:paraId="3B8645CA" w14:textId="77777777" w:rsidR="004A3CD3" w:rsidRDefault="006C0598">
            <w:pPr>
              <w:spacing w:after="0" w:line="259" w:lineRule="auto"/>
              <w:ind w:left="0" w:right="132" w:firstLine="0"/>
              <w:jc w:val="center"/>
            </w:pPr>
            <w:r>
              <w:t xml:space="preserve">2017 </w:t>
            </w:r>
          </w:p>
        </w:tc>
        <w:tc>
          <w:tcPr>
            <w:tcW w:w="7230" w:type="dxa"/>
            <w:tcBorders>
              <w:top w:val="single" w:sz="4" w:space="0" w:color="000000"/>
              <w:left w:val="single" w:sz="4" w:space="0" w:color="000000"/>
              <w:bottom w:val="single" w:sz="4" w:space="0" w:color="000000"/>
              <w:right w:val="single" w:sz="4" w:space="0" w:color="000000"/>
            </w:tcBorders>
            <w:vAlign w:val="center"/>
          </w:tcPr>
          <w:p w14:paraId="293037DE" w14:textId="77777777" w:rsidR="004A3CD3" w:rsidRDefault="006C0598">
            <w:pPr>
              <w:spacing w:after="0" w:line="259" w:lineRule="auto"/>
              <w:ind w:left="0" w:right="0" w:firstLine="0"/>
            </w:pPr>
            <w:r>
              <w:t xml:space="preserve">P.T. BROWN &amp; K. CALDEIRA, "Greater future global warming inferred from Earth's recent energy budget," </w:t>
            </w:r>
            <w:r>
              <w:rPr>
                <w:i/>
              </w:rPr>
              <w:t>Nature</w:t>
            </w:r>
            <w:r>
              <w:t xml:space="preserve">, 7 December 2017. </w:t>
            </w:r>
          </w:p>
        </w:tc>
      </w:tr>
      <w:tr w:rsidR="00E933CB" w14:paraId="7ADF1E3A"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47D9AF7A" w14:textId="77777777" w:rsidR="004A3CD3" w:rsidRDefault="006C0598">
            <w:pPr>
              <w:spacing w:after="0" w:line="259" w:lineRule="auto"/>
              <w:ind w:left="0" w:right="168" w:firstLine="0"/>
              <w:jc w:val="center"/>
            </w:pPr>
            <w:r>
              <w:rPr>
                <w:rFonts w:ascii="Century Gothic" w:eastAsia="Century Gothic" w:hAnsi="Century Gothic" w:cs="Century Gothic"/>
                <w:b/>
                <w:sz w:val="20"/>
              </w:rPr>
              <w:t xml:space="preserve">L.7 </w:t>
            </w:r>
          </w:p>
        </w:tc>
        <w:tc>
          <w:tcPr>
            <w:tcW w:w="1277" w:type="dxa"/>
            <w:tcBorders>
              <w:top w:val="single" w:sz="4" w:space="0" w:color="000000"/>
              <w:left w:val="single" w:sz="4" w:space="0" w:color="000000"/>
              <w:bottom w:val="single" w:sz="4" w:space="0" w:color="000000"/>
              <w:right w:val="single" w:sz="4" w:space="0" w:color="000000"/>
            </w:tcBorders>
          </w:tcPr>
          <w:p w14:paraId="052DA966" w14:textId="77777777" w:rsidR="004A3CD3" w:rsidRDefault="006C0598">
            <w:pPr>
              <w:spacing w:after="0" w:line="259" w:lineRule="auto"/>
              <w:ind w:left="0" w:right="132" w:firstLine="0"/>
              <w:jc w:val="center"/>
            </w:pPr>
            <w:r>
              <w:t xml:space="preserve">2018 </w:t>
            </w:r>
          </w:p>
        </w:tc>
        <w:tc>
          <w:tcPr>
            <w:tcW w:w="7230" w:type="dxa"/>
            <w:tcBorders>
              <w:top w:val="single" w:sz="4" w:space="0" w:color="000000"/>
              <w:left w:val="single" w:sz="4" w:space="0" w:color="000000"/>
              <w:bottom w:val="single" w:sz="4" w:space="0" w:color="000000"/>
              <w:right w:val="single" w:sz="4" w:space="0" w:color="000000"/>
            </w:tcBorders>
            <w:vAlign w:val="center"/>
          </w:tcPr>
          <w:p w14:paraId="43C86BDF" w14:textId="77777777" w:rsidR="004A3CD3" w:rsidRDefault="006C0598">
            <w:pPr>
              <w:spacing w:after="0" w:line="259" w:lineRule="auto"/>
              <w:ind w:left="0" w:right="0" w:firstLine="0"/>
            </w:pPr>
            <w:r>
              <w:t xml:space="preserve">X., "Grande-Synthe mayor Damien Carême attacks the state for inaction against climate change", </w:t>
            </w:r>
            <w:r>
              <w:rPr>
                <w:i/>
              </w:rPr>
              <w:t xml:space="preserve">Le Parisien </w:t>
            </w:r>
            <w:r>
              <w:t xml:space="preserve">21 November 2018 </w:t>
            </w:r>
          </w:p>
        </w:tc>
      </w:tr>
      <w:tr w:rsidR="00E933CB" w14:paraId="0D549AE5" w14:textId="77777777">
        <w:trPr>
          <w:trHeight w:val="1594"/>
        </w:trPr>
        <w:tc>
          <w:tcPr>
            <w:tcW w:w="674" w:type="dxa"/>
            <w:tcBorders>
              <w:top w:val="single" w:sz="4" w:space="0" w:color="000000"/>
              <w:left w:val="single" w:sz="4" w:space="0" w:color="000000"/>
              <w:bottom w:val="single" w:sz="4" w:space="0" w:color="000000"/>
              <w:right w:val="single" w:sz="4" w:space="0" w:color="000000"/>
            </w:tcBorders>
          </w:tcPr>
          <w:p w14:paraId="5C979D91" w14:textId="77777777" w:rsidR="004A3CD3" w:rsidRDefault="006C0598">
            <w:pPr>
              <w:spacing w:after="0" w:line="259" w:lineRule="auto"/>
              <w:ind w:left="0" w:right="168" w:firstLine="0"/>
              <w:jc w:val="center"/>
            </w:pPr>
            <w:r>
              <w:rPr>
                <w:rFonts w:ascii="Century Gothic" w:eastAsia="Century Gothic" w:hAnsi="Century Gothic" w:cs="Century Gothic"/>
                <w:b/>
                <w:sz w:val="20"/>
              </w:rPr>
              <w:t xml:space="preserve">L.8 </w:t>
            </w:r>
          </w:p>
        </w:tc>
        <w:tc>
          <w:tcPr>
            <w:tcW w:w="1277" w:type="dxa"/>
            <w:tcBorders>
              <w:top w:val="single" w:sz="4" w:space="0" w:color="000000"/>
              <w:left w:val="single" w:sz="4" w:space="0" w:color="000000"/>
              <w:bottom w:val="single" w:sz="4" w:space="0" w:color="000000"/>
              <w:right w:val="single" w:sz="4" w:space="0" w:color="000000"/>
            </w:tcBorders>
          </w:tcPr>
          <w:p w14:paraId="3F849F50" w14:textId="77777777" w:rsidR="004A3CD3" w:rsidRDefault="006C0598">
            <w:pPr>
              <w:spacing w:after="0" w:line="259" w:lineRule="auto"/>
              <w:ind w:left="0" w:right="13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5DE09F85" w14:textId="77777777" w:rsidR="004A3CD3" w:rsidRDefault="006C0598">
            <w:pPr>
              <w:spacing w:after="0" w:line="259" w:lineRule="auto"/>
              <w:ind w:left="0" w:right="100" w:firstLine="0"/>
            </w:pPr>
            <w:r>
              <w:t xml:space="preserve">SCHERER (G.), "Climate Science Predictions Prove Too Conservative. Checking 20 years' worth of projections shows that the Intergovernmental Panel on Climate Change has consistently underestimated the pace and impacts of global warming," </w:t>
            </w:r>
            <w:r>
              <w:rPr>
                <w:i/>
              </w:rPr>
              <w:t xml:space="preserve">Scientific American, </w:t>
            </w:r>
            <w:r>
              <w:t xml:space="preserve">October 26, 2019 (originally published in </w:t>
            </w:r>
            <w:r>
              <w:rPr>
                <w:i/>
              </w:rPr>
              <w:t>The Daily Climate</w:t>
            </w:r>
            <w:r>
              <w:t xml:space="preserve">, December 6, 2012). </w:t>
            </w:r>
          </w:p>
        </w:tc>
      </w:tr>
      <w:tr w:rsidR="00E933CB" w14:paraId="2F47C4D9"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01C6F40C" w14:textId="77777777" w:rsidR="004A3CD3" w:rsidRDefault="006C0598">
            <w:pPr>
              <w:spacing w:after="0" w:line="259" w:lineRule="auto"/>
              <w:ind w:left="0" w:right="168" w:firstLine="0"/>
              <w:jc w:val="center"/>
            </w:pPr>
            <w:r>
              <w:rPr>
                <w:rFonts w:ascii="Century Gothic" w:eastAsia="Century Gothic" w:hAnsi="Century Gothic" w:cs="Century Gothic"/>
                <w:b/>
                <w:sz w:val="20"/>
              </w:rPr>
              <w:lastRenderedPageBreak/>
              <w:t xml:space="preserve">L.9 </w:t>
            </w:r>
          </w:p>
        </w:tc>
        <w:tc>
          <w:tcPr>
            <w:tcW w:w="1277" w:type="dxa"/>
            <w:tcBorders>
              <w:top w:val="single" w:sz="4" w:space="0" w:color="000000"/>
              <w:left w:val="single" w:sz="4" w:space="0" w:color="000000"/>
              <w:bottom w:val="single" w:sz="4" w:space="0" w:color="000000"/>
              <w:right w:val="single" w:sz="4" w:space="0" w:color="000000"/>
            </w:tcBorders>
          </w:tcPr>
          <w:p w14:paraId="488D3452" w14:textId="77777777" w:rsidR="004A3CD3" w:rsidRDefault="006C0598">
            <w:pPr>
              <w:spacing w:after="0" w:line="259" w:lineRule="auto"/>
              <w:ind w:left="0" w:right="13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6C1CFDF6" w14:textId="77777777" w:rsidR="004A3CD3" w:rsidRDefault="006C0598">
            <w:pPr>
              <w:spacing w:after="0" w:line="259" w:lineRule="auto"/>
              <w:ind w:left="0" w:right="0" w:firstLine="0"/>
            </w:pPr>
            <w:r>
              <w:t xml:space="preserve">X., "Oil and politics play a role in final wording of U.N. climate change report," </w:t>
            </w:r>
            <w:r>
              <w:rPr>
                <w:i/>
              </w:rPr>
              <w:t xml:space="preserve">CBS News, </w:t>
            </w:r>
            <w:r>
              <w:t xml:space="preserve">September 24, 2019 </w:t>
            </w:r>
          </w:p>
        </w:tc>
      </w:tr>
      <w:tr w:rsidR="00E933CB" w14:paraId="4DA49026"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6F5783AF" w14:textId="77777777" w:rsidR="004A3CD3" w:rsidRDefault="006C0598">
            <w:pPr>
              <w:spacing w:after="0" w:line="259" w:lineRule="auto"/>
              <w:ind w:left="12" w:right="0" w:firstLine="0"/>
              <w:jc w:val="left"/>
            </w:pPr>
            <w:r>
              <w:rPr>
                <w:rFonts w:ascii="Century Gothic" w:eastAsia="Century Gothic" w:hAnsi="Century Gothic" w:cs="Century Gothic"/>
                <w:b/>
                <w:sz w:val="20"/>
              </w:rPr>
              <w:t xml:space="preserve">L.10 </w:t>
            </w:r>
          </w:p>
        </w:tc>
        <w:tc>
          <w:tcPr>
            <w:tcW w:w="1277" w:type="dxa"/>
            <w:tcBorders>
              <w:top w:val="single" w:sz="4" w:space="0" w:color="000000"/>
              <w:left w:val="single" w:sz="4" w:space="0" w:color="000000"/>
              <w:bottom w:val="single" w:sz="4" w:space="0" w:color="000000"/>
              <w:right w:val="single" w:sz="4" w:space="0" w:color="000000"/>
            </w:tcBorders>
          </w:tcPr>
          <w:p w14:paraId="0B63BC06" w14:textId="77777777" w:rsidR="004A3CD3" w:rsidRDefault="006C0598">
            <w:pPr>
              <w:spacing w:after="0" w:line="259" w:lineRule="auto"/>
              <w:ind w:left="0" w:right="13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0C30F7F1" w14:textId="77777777" w:rsidR="004A3CD3" w:rsidRDefault="006C0598">
            <w:pPr>
              <w:spacing w:after="0" w:line="259" w:lineRule="auto"/>
              <w:ind w:left="0" w:right="0" w:firstLine="0"/>
            </w:pPr>
            <w:r>
              <w:t xml:space="preserve">X, "Alexandria Ocasio-Cortez: ''So they knew!'', </w:t>
            </w:r>
            <w:r>
              <w:rPr>
                <w:i/>
              </w:rPr>
              <w:t>le Monde</w:t>
            </w:r>
            <w:r>
              <w:t xml:space="preserve">, 1 </w:t>
            </w:r>
            <w:r>
              <w:rPr>
                <w:vertAlign w:val="superscript"/>
              </w:rPr>
              <w:t>er</w:t>
            </w:r>
            <w:r>
              <w:t xml:space="preserve">December 2019  </w:t>
            </w:r>
          </w:p>
        </w:tc>
      </w:tr>
      <w:tr w:rsidR="00E933CB" w14:paraId="50EFB6B5" w14:textId="77777777">
        <w:trPr>
          <w:trHeight w:val="1057"/>
        </w:trPr>
        <w:tc>
          <w:tcPr>
            <w:tcW w:w="674" w:type="dxa"/>
            <w:tcBorders>
              <w:top w:val="single" w:sz="4" w:space="0" w:color="000000"/>
              <w:left w:val="single" w:sz="4" w:space="0" w:color="000000"/>
              <w:bottom w:val="single" w:sz="4" w:space="0" w:color="000000"/>
              <w:right w:val="single" w:sz="4" w:space="0" w:color="000000"/>
            </w:tcBorders>
          </w:tcPr>
          <w:p w14:paraId="3D3AD31A" w14:textId="77777777" w:rsidR="004A3CD3" w:rsidRDefault="006C0598">
            <w:pPr>
              <w:spacing w:after="0" w:line="259" w:lineRule="auto"/>
              <w:ind w:left="12" w:right="0" w:firstLine="0"/>
              <w:jc w:val="left"/>
            </w:pPr>
            <w:r>
              <w:rPr>
                <w:rFonts w:ascii="Century Gothic" w:eastAsia="Century Gothic" w:hAnsi="Century Gothic" w:cs="Century Gothic"/>
                <w:b/>
                <w:sz w:val="20"/>
              </w:rPr>
              <w:t xml:space="preserve">L.11 </w:t>
            </w:r>
          </w:p>
        </w:tc>
        <w:tc>
          <w:tcPr>
            <w:tcW w:w="1277" w:type="dxa"/>
            <w:tcBorders>
              <w:top w:val="single" w:sz="4" w:space="0" w:color="000000"/>
              <w:left w:val="single" w:sz="4" w:space="0" w:color="000000"/>
              <w:bottom w:val="single" w:sz="4" w:space="0" w:color="000000"/>
              <w:right w:val="single" w:sz="4" w:space="0" w:color="000000"/>
            </w:tcBorders>
          </w:tcPr>
          <w:p w14:paraId="14C1695C" w14:textId="77777777" w:rsidR="004A3CD3" w:rsidRDefault="006C0598">
            <w:pPr>
              <w:spacing w:after="0" w:line="259" w:lineRule="auto"/>
              <w:ind w:left="0" w:right="13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5AF3AAE3" w14:textId="77777777" w:rsidR="004A3CD3" w:rsidRDefault="006C0598">
            <w:pPr>
              <w:spacing w:after="0" w:line="259" w:lineRule="auto"/>
              <w:ind w:left="0" w:right="98" w:firstLine="0"/>
            </w:pPr>
            <w:r>
              <w:t>F. HARVEY, "</w:t>
            </w:r>
            <w:r>
              <w:rPr>
                <w:i/>
              </w:rPr>
              <w:t xml:space="preserve">Latest data show steep rises in CO </w:t>
            </w:r>
            <w:r>
              <w:rPr>
                <w:i/>
                <w:vertAlign w:val="subscript"/>
              </w:rPr>
              <w:t>2</w:t>
            </w:r>
            <w:r>
              <w:rPr>
                <w:i/>
              </w:rPr>
              <w:t>for seventh year. Readings from Hawaii observatory bring threshold of 450 ppm closer sooner than had been anticipated</w:t>
            </w:r>
            <w:r>
              <w:t xml:space="preserve">", </w:t>
            </w:r>
            <w:r>
              <w:rPr>
                <w:i/>
              </w:rPr>
              <w:t xml:space="preserve">The Guardian, </w:t>
            </w:r>
            <w:r>
              <w:t xml:space="preserve">4 June 2019 </w:t>
            </w:r>
          </w:p>
        </w:tc>
      </w:tr>
      <w:tr w:rsidR="00E933CB" w14:paraId="5C111BB5"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17411B58" w14:textId="77777777" w:rsidR="004A3CD3" w:rsidRDefault="006C0598">
            <w:pPr>
              <w:spacing w:after="0" w:line="259" w:lineRule="auto"/>
              <w:ind w:left="12" w:right="0" w:firstLine="0"/>
              <w:jc w:val="left"/>
            </w:pPr>
            <w:r>
              <w:rPr>
                <w:rFonts w:ascii="Century Gothic" w:eastAsia="Century Gothic" w:hAnsi="Century Gothic" w:cs="Century Gothic"/>
                <w:b/>
                <w:sz w:val="20"/>
              </w:rPr>
              <w:t xml:space="preserve">L.12 </w:t>
            </w:r>
          </w:p>
        </w:tc>
        <w:tc>
          <w:tcPr>
            <w:tcW w:w="1277" w:type="dxa"/>
            <w:tcBorders>
              <w:top w:val="single" w:sz="4" w:space="0" w:color="000000"/>
              <w:left w:val="single" w:sz="4" w:space="0" w:color="000000"/>
              <w:bottom w:val="single" w:sz="4" w:space="0" w:color="000000"/>
              <w:right w:val="single" w:sz="4" w:space="0" w:color="000000"/>
            </w:tcBorders>
          </w:tcPr>
          <w:p w14:paraId="37C2AD6D" w14:textId="77777777" w:rsidR="004A3CD3" w:rsidRDefault="006C0598">
            <w:pPr>
              <w:spacing w:after="0" w:line="259" w:lineRule="auto"/>
              <w:ind w:left="0" w:right="13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4283F9C0" w14:textId="77777777" w:rsidR="004A3CD3" w:rsidRDefault="006C0598">
            <w:pPr>
              <w:spacing w:after="0" w:line="259" w:lineRule="auto"/>
              <w:ind w:left="0" w:right="0" w:firstLine="0"/>
            </w:pPr>
            <w:r>
              <w:t xml:space="preserve">D. Carrington, 'Climate crisis seriously damaging human health, report finds', </w:t>
            </w:r>
            <w:r>
              <w:rPr>
                <w:i/>
              </w:rPr>
              <w:t>The Guardian</w:t>
            </w:r>
            <w:r>
              <w:t xml:space="preserve">, 3 June 2019 </w:t>
            </w:r>
          </w:p>
        </w:tc>
      </w:tr>
      <w:tr w:rsidR="00E933CB" w14:paraId="259ECB1B" w14:textId="77777777">
        <w:trPr>
          <w:trHeight w:val="667"/>
        </w:trPr>
        <w:tc>
          <w:tcPr>
            <w:tcW w:w="674" w:type="dxa"/>
            <w:tcBorders>
              <w:top w:val="single" w:sz="4" w:space="0" w:color="000000"/>
              <w:left w:val="single" w:sz="4" w:space="0" w:color="000000"/>
              <w:bottom w:val="single" w:sz="4" w:space="0" w:color="000000"/>
              <w:right w:val="single" w:sz="4" w:space="0" w:color="000000"/>
            </w:tcBorders>
          </w:tcPr>
          <w:p w14:paraId="1760CA3F" w14:textId="77777777" w:rsidR="004A3CD3" w:rsidRDefault="006C0598">
            <w:pPr>
              <w:spacing w:after="0" w:line="259" w:lineRule="auto"/>
              <w:ind w:left="12" w:right="0" w:firstLine="0"/>
              <w:jc w:val="left"/>
            </w:pPr>
            <w:r>
              <w:rPr>
                <w:rFonts w:ascii="Century Gothic" w:eastAsia="Century Gothic" w:hAnsi="Century Gothic" w:cs="Century Gothic"/>
                <w:b/>
                <w:sz w:val="20"/>
              </w:rPr>
              <w:t xml:space="preserve">L.13 </w:t>
            </w:r>
          </w:p>
        </w:tc>
        <w:tc>
          <w:tcPr>
            <w:tcW w:w="1277" w:type="dxa"/>
            <w:tcBorders>
              <w:top w:val="single" w:sz="4" w:space="0" w:color="000000"/>
              <w:left w:val="single" w:sz="4" w:space="0" w:color="000000"/>
              <w:bottom w:val="single" w:sz="4" w:space="0" w:color="000000"/>
              <w:right w:val="single" w:sz="4" w:space="0" w:color="000000"/>
            </w:tcBorders>
          </w:tcPr>
          <w:p w14:paraId="773B7E0B" w14:textId="77777777" w:rsidR="004A3CD3" w:rsidRDefault="006C0598">
            <w:pPr>
              <w:spacing w:after="0" w:line="259" w:lineRule="auto"/>
              <w:ind w:left="0" w:right="13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bottom"/>
          </w:tcPr>
          <w:p w14:paraId="405F5DD0" w14:textId="77777777" w:rsidR="004A3CD3" w:rsidRDefault="006C0598">
            <w:pPr>
              <w:spacing w:after="0" w:line="259" w:lineRule="auto"/>
              <w:ind w:left="0" w:right="0" w:firstLine="0"/>
            </w:pPr>
            <w:r>
              <w:t xml:space="preserve">X., "Scientists shocked by Arctic permafrost thawing 70 years sooner than predicted. Ice blocks frozen solid for thousands of years destabilized. 'The </w:t>
            </w:r>
          </w:p>
        </w:tc>
      </w:tr>
      <w:tr w:rsidR="00E933CB" w14:paraId="40C13D8D" w14:textId="77777777">
        <w:trPr>
          <w:trHeight w:val="668"/>
        </w:trPr>
        <w:tc>
          <w:tcPr>
            <w:tcW w:w="674" w:type="dxa"/>
            <w:tcBorders>
              <w:top w:val="single" w:sz="4" w:space="0" w:color="000000"/>
              <w:left w:val="single" w:sz="4" w:space="0" w:color="000000"/>
              <w:bottom w:val="single" w:sz="4" w:space="0" w:color="000000"/>
              <w:right w:val="single" w:sz="4" w:space="0" w:color="000000"/>
            </w:tcBorders>
          </w:tcPr>
          <w:p w14:paraId="57E29CC7" w14:textId="77777777" w:rsidR="00E933CB" w:rsidRDefault="00E933CB">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vAlign w:val="center"/>
          </w:tcPr>
          <w:p w14:paraId="2BA5738F" w14:textId="77777777" w:rsidR="00E933CB" w:rsidRDefault="00E933CB">
            <w:pPr>
              <w:spacing w:after="160" w:line="259" w:lineRule="auto"/>
              <w:ind w:left="0" w:right="0" w:firstLine="0"/>
              <w:jc w:val="left"/>
            </w:pPr>
          </w:p>
        </w:tc>
        <w:tc>
          <w:tcPr>
            <w:tcW w:w="7230" w:type="dxa"/>
            <w:tcBorders>
              <w:top w:val="single" w:sz="4" w:space="0" w:color="000000"/>
              <w:left w:val="single" w:sz="4" w:space="0" w:color="000000"/>
              <w:bottom w:val="single" w:sz="4" w:space="0" w:color="000000"/>
              <w:right w:val="single" w:sz="4" w:space="0" w:color="000000"/>
            </w:tcBorders>
          </w:tcPr>
          <w:p w14:paraId="054EF2B2" w14:textId="77777777" w:rsidR="004A3CD3" w:rsidRDefault="006C0598">
            <w:pPr>
              <w:spacing w:after="0" w:line="259" w:lineRule="auto"/>
              <w:ind w:left="0" w:right="0" w:firstLine="0"/>
              <w:jc w:val="left"/>
            </w:pPr>
            <w:r>
              <w:t xml:space="preserve">climate is now warmer than at any time in last 5,000 years'", </w:t>
            </w:r>
            <w:r>
              <w:rPr>
                <w:i/>
              </w:rPr>
              <w:t>The Guardian</w:t>
            </w:r>
            <w:r>
              <w:t xml:space="preserve">, 18 June 2019 </w:t>
            </w:r>
          </w:p>
        </w:tc>
      </w:tr>
      <w:tr w:rsidR="00E933CB" w14:paraId="1FE8FC19"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50632E7A" w14:textId="77777777" w:rsidR="004A3CD3" w:rsidRDefault="006C0598">
            <w:pPr>
              <w:spacing w:after="0" w:line="259" w:lineRule="auto"/>
              <w:ind w:left="12" w:right="0" w:firstLine="0"/>
              <w:jc w:val="left"/>
            </w:pPr>
            <w:r>
              <w:rPr>
                <w:rFonts w:ascii="Century Gothic" w:eastAsia="Century Gothic" w:hAnsi="Century Gothic" w:cs="Century Gothic"/>
                <w:b/>
                <w:sz w:val="20"/>
              </w:rPr>
              <w:t xml:space="preserve">L.14 </w:t>
            </w:r>
          </w:p>
        </w:tc>
        <w:tc>
          <w:tcPr>
            <w:tcW w:w="1277" w:type="dxa"/>
            <w:tcBorders>
              <w:top w:val="single" w:sz="4" w:space="0" w:color="000000"/>
              <w:left w:val="single" w:sz="4" w:space="0" w:color="000000"/>
              <w:bottom w:val="single" w:sz="4" w:space="0" w:color="000000"/>
              <w:right w:val="single" w:sz="4" w:space="0" w:color="000000"/>
            </w:tcBorders>
          </w:tcPr>
          <w:p w14:paraId="07FAD983"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3D772C3D" w14:textId="77777777" w:rsidR="004A3CD3" w:rsidRDefault="006C0598">
            <w:pPr>
              <w:spacing w:after="0" w:line="259" w:lineRule="auto"/>
              <w:ind w:left="0" w:right="0" w:firstLine="0"/>
            </w:pPr>
            <w:r>
              <w:t xml:space="preserve">T. EDWARDS </w:t>
            </w:r>
            <w:r>
              <w:rPr>
                <w:i/>
              </w:rPr>
              <w:t xml:space="preserve">et al </w:t>
            </w:r>
            <w:r>
              <w:t xml:space="preserve">, "Revisiting Antarctic ice loss due to marine ice-cliff instability", </w:t>
            </w:r>
            <w:r>
              <w:rPr>
                <w:i/>
              </w:rPr>
              <w:t xml:space="preserve">Nature, </w:t>
            </w:r>
            <w:r>
              <w:t xml:space="preserve">2019 </w:t>
            </w:r>
          </w:p>
        </w:tc>
      </w:tr>
      <w:tr w:rsidR="00E933CB" w14:paraId="63B5F707"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481C200D" w14:textId="77777777" w:rsidR="004A3CD3" w:rsidRDefault="006C0598">
            <w:pPr>
              <w:spacing w:after="0" w:line="259" w:lineRule="auto"/>
              <w:ind w:left="12" w:right="0" w:firstLine="0"/>
              <w:jc w:val="left"/>
            </w:pPr>
            <w:r>
              <w:rPr>
                <w:rFonts w:ascii="Century Gothic" w:eastAsia="Century Gothic" w:hAnsi="Century Gothic" w:cs="Century Gothic"/>
                <w:b/>
                <w:sz w:val="20"/>
              </w:rPr>
              <w:t xml:space="preserve">L.15 </w:t>
            </w:r>
          </w:p>
        </w:tc>
        <w:tc>
          <w:tcPr>
            <w:tcW w:w="1277" w:type="dxa"/>
            <w:tcBorders>
              <w:top w:val="single" w:sz="4" w:space="0" w:color="000000"/>
              <w:left w:val="single" w:sz="4" w:space="0" w:color="000000"/>
              <w:bottom w:val="single" w:sz="4" w:space="0" w:color="000000"/>
              <w:right w:val="single" w:sz="4" w:space="0" w:color="000000"/>
            </w:tcBorders>
          </w:tcPr>
          <w:p w14:paraId="7A066BCF"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6362E347" w14:textId="77777777" w:rsidR="004A3CD3" w:rsidRDefault="006C0598">
            <w:pPr>
              <w:spacing w:after="0" w:line="259" w:lineRule="auto"/>
              <w:ind w:left="0" w:right="0" w:firstLine="0"/>
            </w:pPr>
            <w:r>
              <w:t xml:space="preserve">S.A. KULP &amp; B.H. STRASS, "New elevation data triple estimates of global vulnerability to sea-level rise and coastal flooding", </w:t>
            </w:r>
            <w:r>
              <w:rPr>
                <w:i/>
              </w:rPr>
              <w:t xml:space="preserve">Nature, </w:t>
            </w:r>
            <w:r>
              <w:t xml:space="preserve">29 October 2019 </w:t>
            </w:r>
          </w:p>
        </w:tc>
      </w:tr>
      <w:tr w:rsidR="00E933CB" w14:paraId="26A920C4"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56D2B862" w14:textId="77777777" w:rsidR="004A3CD3" w:rsidRDefault="006C0598">
            <w:pPr>
              <w:spacing w:after="0" w:line="259" w:lineRule="auto"/>
              <w:ind w:left="12" w:right="0" w:firstLine="0"/>
              <w:jc w:val="left"/>
            </w:pPr>
            <w:r>
              <w:rPr>
                <w:rFonts w:ascii="Century Gothic" w:eastAsia="Century Gothic" w:hAnsi="Century Gothic" w:cs="Century Gothic"/>
                <w:b/>
                <w:sz w:val="20"/>
              </w:rPr>
              <w:t xml:space="preserve">L.16 </w:t>
            </w:r>
          </w:p>
        </w:tc>
        <w:tc>
          <w:tcPr>
            <w:tcW w:w="1277" w:type="dxa"/>
            <w:tcBorders>
              <w:top w:val="single" w:sz="4" w:space="0" w:color="000000"/>
              <w:left w:val="single" w:sz="4" w:space="0" w:color="000000"/>
              <w:bottom w:val="single" w:sz="4" w:space="0" w:color="000000"/>
              <w:right w:val="single" w:sz="4" w:space="0" w:color="000000"/>
            </w:tcBorders>
          </w:tcPr>
          <w:p w14:paraId="6CF87691"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12E99941" w14:textId="77777777" w:rsidR="004A3CD3" w:rsidRDefault="006C0598">
            <w:pPr>
              <w:spacing w:after="0" w:line="259" w:lineRule="auto"/>
              <w:ind w:left="0" w:right="0" w:firstLine="0"/>
            </w:pPr>
            <w:r>
              <w:t xml:space="preserve">D. CARRINGTON, "Climate crisis: 11,000 scientists warn of 'untold suffering'", </w:t>
            </w:r>
            <w:r>
              <w:rPr>
                <w:i/>
              </w:rPr>
              <w:t>The Guardian</w:t>
            </w:r>
            <w:r>
              <w:t xml:space="preserve">, 5 November 2019 </w:t>
            </w:r>
          </w:p>
        </w:tc>
      </w:tr>
      <w:tr w:rsidR="00E933CB" w14:paraId="5FD107D6"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415AC3FD" w14:textId="77777777" w:rsidR="004A3CD3" w:rsidRDefault="006C0598">
            <w:pPr>
              <w:spacing w:after="0" w:line="259" w:lineRule="auto"/>
              <w:ind w:left="12" w:right="0" w:firstLine="0"/>
              <w:jc w:val="left"/>
            </w:pPr>
            <w:r>
              <w:rPr>
                <w:rFonts w:ascii="Century Gothic" w:eastAsia="Century Gothic" w:hAnsi="Century Gothic" w:cs="Century Gothic"/>
                <w:b/>
                <w:sz w:val="20"/>
              </w:rPr>
              <w:t xml:space="preserve">L.17 </w:t>
            </w:r>
          </w:p>
        </w:tc>
        <w:tc>
          <w:tcPr>
            <w:tcW w:w="1277" w:type="dxa"/>
            <w:tcBorders>
              <w:top w:val="single" w:sz="4" w:space="0" w:color="000000"/>
              <w:left w:val="single" w:sz="4" w:space="0" w:color="000000"/>
              <w:bottom w:val="single" w:sz="4" w:space="0" w:color="000000"/>
              <w:right w:val="single" w:sz="4" w:space="0" w:color="000000"/>
            </w:tcBorders>
          </w:tcPr>
          <w:p w14:paraId="521D9102"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5350DA3C" w14:textId="77777777" w:rsidR="004A3CD3" w:rsidRDefault="006C0598">
            <w:pPr>
              <w:spacing w:after="0" w:line="259" w:lineRule="auto"/>
              <w:ind w:left="0" w:right="0" w:firstLine="0"/>
            </w:pPr>
            <w:r>
              <w:t xml:space="preserve">X., "Parliament votes 55% emissions cut for 2030", </w:t>
            </w:r>
            <w:r>
              <w:rPr>
                <w:i/>
              </w:rPr>
              <w:t>euractiv</w:t>
            </w:r>
            <w:r>
              <w:t xml:space="preserve">, 18 March 2019 </w:t>
            </w:r>
          </w:p>
        </w:tc>
      </w:tr>
      <w:tr w:rsidR="00E933CB" w14:paraId="23AC70DD" w14:textId="77777777">
        <w:trPr>
          <w:trHeight w:val="788"/>
        </w:trPr>
        <w:tc>
          <w:tcPr>
            <w:tcW w:w="674" w:type="dxa"/>
            <w:tcBorders>
              <w:top w:val="single" w:sz="4" w:space="0" w:color="000000"/>
              <w:left w:val="single" w:sz="4" w:space="0" w:color="000000"/>
              <w:bottom w:val="single" w:sz="4" w:space="0" w:color="000000"/>
              <w:right w:val="single" w:sz="4" w:space="0" w:color="000000"/>
            </w:tcBorders>
          </w:tcPr>
          <w:p w14:paraId="712686FD" w14:textId="77777777" w:rsidR="004A3CD3" w:rsidRDefault="006C0598">
            <w:pPr>
              <w:spacing w:after="0" w:line="259" w:lineRule="auto"/>
              <w:ind w:left="12" w:right="0" w:firstLine="0"/>
              <w:jc w:val="left"/>
            </w:pPr>
            <w:r>
              <w:rPr>
                <w:rFonts w:ascii="Century Gothic" w:eastAsia="Century Gothic" w:hAnsi="Century Gothic" w:cs="Century Gothic"/>
                <w:b/>
                <w:sz w:val="20"/>
              </w:rPr>
              <w:t xml:space="preserve">L.18 </w:t>
            </w:r>
          </w:p>
        </w:tc>
        <w:tc>
          <w:tcPr>
            <w:tcW w:w="1277" w:type="dxa"/>
            <w:tcBorders>
              <w:top w:val="single" w:sz="4" w:space="0" w:color="000000"/>
              <w:left w:val="single" w:sz="4" w:space="0" w:color="000000"/>
              <w:bottom w:val="single" w:sz="4" w:space="0" w:color="000000"/>
              <w:right w:val="single" w:sz="4" w:space="0" w:color="000000"/>
            </w:tcBorders>
          </w:tcPr>
          <w:p w14:paraId="6E15877A"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4AFB3EFE" w14:textId="77777777" w:rsidR="004A3CD3" w:rsidRDefault="006C0598">
            <w:pPr>
              <w:spacing w:after="0" w:line="259" w:lineRule="auto"/>
              <w:ind w:left="0" w:right="0" w:firstLine="0"/>
            </w:pPr>
            <w:r>
              <w:t xml:space="preserve">C. Farand, "Guterres asks all countries to plan for carbon neutrality by 2050", Climate Home News, 22 July 2019  </w:t>
            </w:r>
          </w:p>
        </w:tc>
      </w:tr>
      <w:tr w:rsidR="00E933CB" w14:paraId="2D9FEB11"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297298EA" w14:textId="77777777" w:rsidR="004A3CD3" w:rsidRDefault="006C0598">
            <w:pPr>
              <w:spacing w:after="0" w:line="259" w:lineRule="auto"/>
              <w:ind w:left="12" w:right="0" w:firstLine="0"/>
              <w:jc w:val="left"/>
            </w:pPr>
            <w:r>
              <w:rPr>
                <w:rFonts w:ascii="Century Gothic" w:eastAsia="Century Gothic" w:hAnsi="Century Gothic" w:cs="Century Gothic"/>
                <w:b/>
                <w:sz w:val="20"/>
              </w:rPr>
              <w:t xml:space="preserve">L.19 </w:t>
            </w:r>
          </w:p>
        </w:tc>
        <w:tc>
          <w:tcPr>
            <w:tcW w:w="1277" w:type="dxa"/>
            <w:tcBorders>
              <w:top w:val="single" w:sz="4" w:space="0" w:color="000000"/>
              <w:left w:val="single" w:sz="4" w:space="0" w:color="000000"/>
              <w:bottom w:val="single" w:sz="4" w:space="0" w:color="000000"/>
              <w:right w:val="single" w:sz="4" w:space="0" w:color="000000"/>
            </w:tcBorders>
          </w:tcPr>
          <w:p w14:paraId="2C611F8D"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25043632" w14:textId="77777777" w:rsidR="004A3CD3" w:rsidRDefault="006C0598">
            <w:pPr>
              <w:spacing w:after="0" w:line="259" w:lineRule="auto"/>
              <w:ind w:left="0" w:right="0" w:firstLine="0"/>
            </w:pPr>
            <w:r>
              <w:t xml:space="preserve">B. DONMEZ, "UN: More than 60 nations vow to be carbón-free by 2050", </w:t>
            </w:r>
            <w:r>
              <w:rPr>
                <w:i/>
              </w:rPr>
              <w:t>AA</w:t>
            </w:r>
            <w:r>
              <w:t xml:space="preserve">, 23 September 2019   </w:t>
            </w:r>
          </w:p>
        </w:tc>
      </w:tr>
      <w:tr w:rsidR="00E933CB" w14:paraId="4CCE9896"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6B09A8EA" w14:textId="77777777" w:rsidR="004A3CD3" w:rsidRDefault="006C0598">
            <w:pPr>
              <w:spacing w:after="0" w:line="259" w:lineRule="auto"/>
              <w:ind w:left="12" w:right="0" w:firstLine="0"/>
              <w:jc w:val="left"/>
            </w:pPr>
            <w:r>
              <w:rPr>
                <w:rFonts w:ascii="Century Gothic" w:eastAsia="Century Gothic" w:hAnsi="Century Gothic" w:cs="Century Gothic"/>
                <w:b/>
                <w:sz w:val="20"/>
              </w:rPr>
              <w:t xml:space="preserve">L.20 </w:t>
            </w:r>
          </w:p>
        </w:tc>
        <w:tc>
          <w:tcPr>
            <w:tcW w:w="1277" w:type="dxa"/>
            <w:tcBorders>
              <w:top w:val="single" w:sz="4" w:space="0" w:color="000000"/>
              <w:left w:val="single" w:sz="4" w:space="0" w:color="000000"/>
              <w:bottom w:val="single" w:sz="4" w:space="0" w:color="000000"/>
              <w:right w:val="single" w:sz="4" w:space="0" w:color="000000"/>
            </w:tcBorders>
          </w:tcPr>
          <w:p w14:paraId="6CA20C9F"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1FCB1418" w14:textId="77777777" w:rsidR="004A3CD3" w:rsidRDefault="006C0598">
            <w:pPr>
              <w:spacing w:after="0" w:line="259" w:lineRule="auto"/>
              <w:ind w:left="0" w:right="0" w:firstLine="0"/>
            </w:pPr>
            <w:r>
              <w:t xml:space="preserve">X., "UN chief urges action to make Earth carbon neutral by 2050", </w:t>
            </w:r>
            <w:r>
              <w:rPr>
                <w:i/>
              </w:rPr>
              <w:t>Indian Times</w:t>
            </w:r>
            <w:r>
              <w:t xml:space="preserve">, 21 September 2019 </w:t>
            </w:r>
          </w:p>
        </w:tc>
      </w:tr>
      <w:tr w:rsidR="00E933CB" w14:paraId="269A5ED9"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2CC0915A" w14:textId="77777777" w:rsidR="004A3CD3" w:rsidRDefault="006C0598">
            <w:pPr>
              <w:spacing w:after="0" w:line="259" w:lineRule="auto"/>
              <w:ind w:left="12" w:right="0" w:firstLine="0"/>
              <w:jc w:val="left"/>
            </w:pPr>
            <w:r>
              <w:rPr>
                <w:rFonts w:ascii="Century Gothic" w:eastAsia="Century Gothic" w:hAnsi="Century Gothic" w:cs="Century Gothic"/>
                <w:b/>
                <w:sz w:val="20"/>
              </w:rPr>
              <w:t xml:space="preserve">L.21 </w:t>
            </w:r>
          </w:p>
        </w:tc>
        <w:tc>
          <w:tcPr>
            <w:tcW w:w="1277" w:type="dxa"/>
            <w:tcBorders>
              <w:top w:val="single" w:sz="4" w:space="0" w:color="000000"/>
              <w:left w:val="single" w:sz="4" w:space="0" w:color="000000"/>
              <w:bottom w:val="single" w:sz="4" w:space="0" w:color="000000"/>
              <w:right w:val="single" w:sz="4" w:space="0" w:color="000000"/>
            </w:tcBorders>
          </w:tcPr>
          <w:p w14:paraId="729501E2"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59763349" w14:textId="77777777" w:rsidR="004A3CD3" w:rsidRDefault="006C0598">
            <w:pPr>
              <w:spacing w:after="0" w:line="259" w:lineRule="auto"/>
              <w:ind w:left="0" w:right="0" w:firstLine="0"/>
            </w:pPr>
            <w:r>
              <w:t xml:space="preserve">B. Lahn, "Climate neutrality the Norwegian way: Carbon trading?", </w:t>
            </w:r>
            <w:r>
              <w:rPr>
                <w:i/>
              </w:rPr>
              <w:t>Cicero</w:t>
            </w:r>
            <w:r>
              <w:t xml:space="preserve">, 17 September 2019  </w:t>
            </w:r>
          </w:p>
        </w:tc>
      </w:tr>
      <w:tr w:rsidR="00E933CB" w14:paraId="5DA42D3A"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0B3570D2" w14:textId="77777777" w:rsidR="004A3CD3" w:rsidRDefault="006C0598">
            <w:pPr>
              <w:spacing w:after="0" w:line="259" w:lineRule="auto"/>
              <w:ind w:left="12" w:right="0" w:firstLine="0"/>
              <w:jc w:val="left"/>
            </w:pPr>
            <w:r>
              <w:rPr>
                <w:rFonts w:ascii="Century Gothic" w:eastAsia="Century Gothic" w:hAnsi="Century Gothic" w:cs="Century Gothic"/>
                <w:b/>
                <w:sz w:val="20"/>
              </w:rPr>
              <w:t xml:space="preserve">L.22 </w:t>
            </w:r>
          </w:p>
        </w:tc>
        <w:tc>
          <w:tcPr>
            <w:tcW w:w="1277" w:type="dxa"/>
            <w:tcBorders>
              <w:top w:val="single" w:sz="4" w:space="0" w:color="000000"/>
              <w:left w:val="single" w:sz="4" w:space="0" w:color="000000"/>
              <w:bottom w:val="single" w:sz="4" w:space="0" w:color="000000"/>
              <w:right w:val="single" w:sz="4" w:space="0" w:color="000000"/>
            </w:tcBorders>
          </w:tcPr>
          <w:p w14:paraId="1C35CE6E"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573D16E5" w14:textId="77777777" w:rsidR="004A3CD3" w:rsidRDefault="006C0598">
            <w:pPr>
              <w:spacing w:after="0" w:line="259" w:lineRule="auto"/>
              <w:ind w:left="0" w:right="0" w:firstLine="0"/>
            </w:pPr>
            <w:r>
              <w:t xml:space="preserve">J. TIMPERLEY, "Demark passes climate law to cut emissions 70% by 2030", </w:t>
            </w:r>
            <w:r>
              <w:rPr>
                <w:i/>
              </w:rPr>
              <w:t xml:space="preserve">Climate Change News, </w:t>
            </w:r>
            <w:r>
              <w:t xml:space="preserve">6 December 2019  </w:t>
            </w:r>
          </w:p>
        </w:tc>
      </w:tr>
    </w:tbl>
    <w:p w14:paraId="7E67E255" w14:textId="77777777" w:rsidR="00E933CB" w:rsidRDefault="00825B93">
      <w:pPr>
        <w:spacing w:after="98" w:line="259" w:lineRule="auto"/>
        <w:ind w:left="464" w:right="0" w:firstLine="0"/>
        <w:jc w:val="left"/>
      </w:pPr>
      <w:r>
        <w:t xml:space="preserve"> </w:t>
      </w:r>
    </w:p>
    <w:p w14:paraId="7262D608" w14:textId="77777777" w:rsidR="00E933CB" w:rsidRDefault="00825B93">
      <w:pPr>
        <w:spacing w:after="98" w:line="259" w:lineRule="auto"/>
        <w:ind w:left="0" w:right="9117" w:firstLine="0"/>
        <w:jc w:val="right"/>
      </w:pPr>
      <w:r>
        <w:t xml:space="preserve"> </w:t>
      </w:r>
    </w:p>
    <w:p w14:paraId="54B9D42F" w14:textId="77777777" w:rsidR="00E933CB" w:rsidRDefault="00825B93">
      <w:pPr>
        <w:spacing w:after="0" w:line="259" w:lineRule="auto"/>
        <w:ind w:left="0" w:right="9117" w:firstLine="0"/>
        <w:jc w:val="right"/>
      </w:pPr>
      <w:r>
        <w:t xml:space="preserve"> </w:t>
      </w:r>
    </w:p>
    <w:tbl>
      <w:tblPr>
        <w:tblStyle w:val="TableGrid"/>
        <w:tblW w:w="9182" w:type="dxa"/>
        <w:tblInd w:w="468" w:type="dxa"/>
        <w:tblCellMar>
          <w:top w:w="48" w:type="dxa"/>
          <w:left w:w="108" w:type="dxa"/>
          <w:right w:w="42" w:type="dxa"/>
        </w:tblCellMar>
        <w:tblLook w:val="04A0" w:firstRow="1" w:lastRow="0" w:firstColumn="1" w:lastColumn="0" w:noHBand="0" w:noVBand="1"/>
      </w:tblPr>
      <w:tblGrid>
        <w:gridCol w:w="674"/>
        <w:gridCol w:w="1277"/>
        <w:gridCol w:w="7231"/>
      </w:tblGrid>
      <w:tr w:rsidR="00E933CB" w14:paraId="726BFE53" w14:textId="77777777">
        <w:trPr>
          <w:trHeight w:val="571"/>
        </w:trPr>
        <w:tc>
          <w:tcPr>
            <w:tcW w:w="674" w:type="dxa"/>
            <w:tcBorders>
              <w:top w:val="single" w:sz="4" w:space="0" w:color="000000"/>
              <w:left w:val="single" w:sz="4" w:space="0" w:color="000000"/>
              <w:bottom w:val="single" w:sz="4" w:space="0" w:color="000000"/>
              <w:right w:val="nil"/>
            </w:tcBorders>
          </w:tcPr>
          <w:p w14:paraId="780E02D6" w14:textId="77777777" w:rsidR="00E933CB" w:rsidRDefault="00E933CB">
            <w:pPr>
              <w:spacing w:after="160" w:line="259" w:lineRule="auto"/>
              <w:ind w:left="0" w:right="0" w:firstLine="0"/>
              <w:jc w:val="left"/>
            </w:pPr>
          </w:p>
        </w:tc>
        <w:tc>
          <w:tcPr>
            <w:tcW w:w="1277" w:type="dxa"/>
            <w:tcBorders>
              <w:top w:val="single" w:sz="4" w:space="0" w:color="000000"/>
              <w:left w:val="nil"/>
              <w:bottom w:val="single" w:sz="4" w:space="0" w:color="000000"/>
              <w:right w:val="nil"/>
            </w:tcBorders>
          </w:tcPr>
          <w:p w14:paraId="4C8FBDEF" w14:textId="77777777" w:rsidR="00E933CB" w:rsidRDefault="00E933CB">
            <w:pPr>
              <w:spacing w:after="160" w:line="259" w:lineRule="auto"/>
              <w:ind w:left="0" w:right="0" w:firstLine="0"/>
              <w:jc w:val="left"/>
            </w:pPr>
          </w:p>
        </w:tc>
        <w:tc>
          <w:tcPr>
            <w:tcW w:w="7230" w:type="dxa"/>
            <w:tcBorders>
              <w:top w:val="single" w:sz="4" w:space="0" w:color="000000"/>
              <w:left w:val="nil"/>
              <w:bottom w:val="single" w:sz="4" w:space="0" w:color="000000"/>
              <w:right w:val="single" w:sz="4" w:space="0" w:color="000000"/>
            </w:tcBorders>
          </w:tcPr>
          <w:p w14:paraId="41764CC5" w14:textId="77777777" w:rsidR="004A3CD3" w:rsidRDefault="006C0598">
            <w:pPr>
              <w:spacing w:after="0" w:line="259" w:lineRule="auto"/>
              <w:ind w:left="519" w:right="0" w:firstLine="0"/>
              <w:jc w:val="left"/>
            </w:pPr>
            <w:r>
              <w:rPr>
                <w:b/>
                <w:sz w:val="40"/>
              </w:rPr>
              <w:t xml:space="preserve">M. </w:t>
            </w:r>
            <w:r>
              <w:rPr>
                <w:b/>
                <w:sz w:val="40"/>
                <w:u w:val="single" w:color="000000"/>
              </w:rPr>
              <w:t xml:space="preserve">Belgian case law </w:t>
            </w:r>
          </w:p>
        </w:tc>
      </w:tr>
      <w:tr w:rsidR="00E933CB" w14:paraId="4E6A9FE3"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3408B169" w14:textId="77777777" w:rsidR="00E933CB" w:rsidRDefault="00825B93">
            <w:pPr>
              <w:spacing w:after="0" w:line="259" w:lineRule="auto"/>
              <w:ind w:left="0" w:right="59"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C8ADB57" w14:textId="77777777" w:rsidR="004A3CD3" w:rsidRDefault="006C0598">
            <w:pPr>
              <w:spacing w:after="0" w:line="259" w:lineRule="auto"/>
              <w:ind w:left="0" w:right="79" w:firstLine="0"/>
              <w:jc w:val="center"/>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tcPr>
          <w:p w14:paraId="060D7C6A" w14:textId="77777777" w:rsidR="004A3CD3" w:rsidRDefault="006C0598">
            <w:pPr>
              <w:spacing w:after="0" w:line="259" w:lineRule="auto"/>
              <w:ind w:left="0" w:right="0" w:firstLine="0"/>
              <w:jc w:val="left"/>
            </w:pPr>
            <w:r>
              <w:rPr>
                <w:b/>
              </w:rPr>
              <w:t xml:space="preserve">Description </w:t>
            </w:r>
          </w:p>
        </w:tc>
      </w:tr>
      <w:tr w:rsidR="00E933CB" w14:paraId="307A42F9"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6B8495D6" w14:textId="77777777" w:rsidR="004A3CD3" w:rsidRDefault="006C0598">
            <w:pPr>
              <w:spacing w:after="0" w:line="259" w:lineRule="auto"/>
              <w:ind w:left="22" w:right="0" w:firstLine="0"/>
              <w:jc w:val="left"/>
            </w:pPr>
            <w:r>
              <w:rPr>
                <w:rFonts w:ascii="Century Gothic" w:eastAsia="Century Gothic" w:hAnsi="Century Gothic" w:cs="Century Gothic"/>
                <w:b/>
                <w:sz w:val="20"/>
              </w:rPr>
              <w:t xml:space="preserve">M.1 </w:t>
            </w:r>
          </w:p>
        </w:tc>
        <w:tc>
          <w:tcPr>
            <w:tcW w:w="1277" w:type="dxa"/>
            <w:tcBorders>
              <w:top w:val="single" w:sz="4" w:space="0" w:color="000000"/>
              <w:left w:val="single" w:sz="4" w:space="0" w:color="000000"/>
              <w:bottom w:val="single" w:sz="4" w:space="0" w:color="000000"/>
              <w:right w:val="single" w:sz="4" w:space="0" w:color="000000"/>
            </w:tcBorders>
          </w:tcPr>
          <w:p w14:paraId="587532CB" w14:textId="77777777" w:rsidR="004A3CD3" w:rsidRDefault="006C0598">
            <w:pPr>
              <w:spacing w:after="0" w:line="259" w:lineRule="auto"/>
              <w:ind w:left="0" w:right="76" w:firstLine="0"/>
              <w:jc w:val="center"/>
            </w:pPr>
            <w:r>
              <w:t xml:space="preserve">1987 </w:t>
            </w:r>
          </w:p>
        </w:tc>
        <w:tc>
          <w:tcPr>
            <w:tcW w:w="7230" w:type="dxa"/>
            <w:tcBorders>
              <w:top w:val="single" w:sz="4" w:space="0" w:color="000000"/>
              <w:left w:val="single" w:sz="4" w:space="0" w:color="000000"/>
              <w:bottom w:val="single" w:sz="4" w:space="0" w:color="000000"/>
              <w:right w:val="single" w:sz="4" w:space="0" w:color="000000"/>
            </w:tcBorders>
            <w:vAlign w:val="center"/>
          </w:tcPr>
          <w:p w14:paraId="232A7FEC" w14:textId="77777777" w:rsidR="004A3CD3" w:rsidRDefault="006C0598">
            <w:pPr>
              <w:spacing w:after="0" w:line="259" w:lineRule="auto"/>
              <w:ind w:left="0" w:right="0" w:firstLine="0"/>
              <w:jc w:val="left"/>
            </w:pPr>
            <w:r>
              <w:t xml:space="preserve">C.E., asbl Inter-Environnement Wallonie, n° 27.955 of 20 May 1987  </w:t>
            </w:r>
          </w:p>
        </w:tc>
      </w:tr>
      <w:tr w:rsidR="00E933CB" w14:paraId="2AA0648D"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5D6813CF" w14:textId="77777777" w:rsidR="004A3CD3" w:rsidRDefault="006C0598">
            <w:pPr>
              <w:spacing w:after="0" w:line="259" w:lineRule="auto"/>
              <w:ind w:left="22" w:right="0" w:firstLine="0"/>
              <w:jc w:val="left"/>
            </w:pPr>
            <w:r>
              <w:rPr>
                <w:rFonts w:ascii="Century Gothic" w:eastAsia="Century Gothic" w:hAnsi="Century Gothic" w:cs="Century Gothic"/>
                <w:b/>
                <w:sz w:val="20"/>
              </w:rPr>
              <w:t xml:space="preserve">M.2 </w:t>
            </w:r>
          </w:p>
        </w:tc>
        <w:tc>
          <w:tcPr>
            <w:tcW w:w="1277" w:type="dxa"/>
            <w:tcBorders>
              <w:top w:val="single" w:sz="4" w:space="0" w:color="000000"/>
              <w:left w:val="single" w:sz="4" w:space="0" w:color="000000"/>
              <w:bottom w:val="single" w:sz="4" w:space="0" w:color="000000"/>
              <w:right w:val="single" w:sz="4" w:space="0" w:color="000000"/>
            </w:tcBorders>
          </w:tcPr>
          <w:p w14:paraId="7CCCE5BB" w14:textId="77777777" w:rsidR="004A3CD3" w:rsidRDefault="006C0598">
            <w:pPr>
              <w:spacing w:after="0" w:line="259" w:lineRule="auto"/>
              <w:ind w:left="0" w:right="76" w:firstLine="0"/>
              <w:jc w:val="center"/>
            </w:pPr>
            <w:r>
              <w:t xml:space="preserve">1997 </w:t>
            </w:r>
          </w:p>
        </w:tc>
        <w:tc>
          <w:tcPr>
            <w:tcW w:w="7230" w:type="dxa"/>
            <w:tcBorders>
              <w:top w:val="single" w:sz="4" w:space="0" w:color="000000"/>
              <w:left w:val="single" w:sz="4" w:space="0" w:color="000000"/>
              <w:bottom w:val="single" w:sz="4" w:space="0" w:color="000000"/>
              <w:right w:val="single" w:sz="4" w:space="0" w:color="000000"/>
            </w:tcBorders>
            <w:vAlign w:val="center"/>
          </w:tcPr>
          <w:p w14:paraId="5B962899" w14:textId="77777777" w:rsidR="004A3CD3" w:rsidRDefault="006C0598">
            <w:pPr>
              <w:spacing w:after="0" w:line="259" w:lineRule="auto"/>
              <w:ind w:left="60" w:right="0" w:hanging="60"/>
            </w:pPr>
            <w:r>
              <w:t xml:space="preserve">C.E., asbl Front commun des Groupements de Défense de la Nature, n° 67.535 of 18 July 1997  </w:t>
            </w:r>
          </w:p>
        </w:tc>
      </w:tr>
      <w:tr w:rsidR="00E933CB" w14:paraId="7DD6D813" w14:textId="77777777">
        <w:trPr>
          <w:trHeight w:val="788"/>
        </w:trPr>
        <w:tc>
          <w:tcPr>
            <w:tcW w:w="674" w:type="dxa"/>
            <w:tcBorders>
              <w:top w:val="single" w:sz="4" w:space="0" w:color="000000"/>
              <w:left w:val="single" w:sz="4" w:space="0" w:color="000000"/>
              <w:bottom w:val="single" w:sz="4" w:space="0" w:color="000000"/>
              <w:right w:val="single" w:sz="4" w:space="0" w:color="000000"/>
            </w:tcBorders>
          </w:tcPr>
          <w:p w14:paraId="663E4F6F" w14:textId="77777777" w:rsidR="004A3CD3" w:rsidRDefault="006C0598">
            <w:pPr>
              <w:spacing w:after="0" w:line="259" w:lineRule="auto"/>
              <w:ind w:left="22" w:right="0" w:firstLine="0"/>
              <w:jc w:val="left"/>
            </w:pPr>
            <w:r>
              <w:rPr>
                <w:rFonts w:ascii="Century Gothic" w:eastAsia="Century Gothic" w:hAnsi="Century Gothic" w:cs="Century Gothic"/>
                <w:b/>
                <w:sz w:val="20"/>
              </w:rPr>
              <w:t xml:space="preserve">M.3 </w:t>
            </w:r>
          </w:p>
        </w:tc>
        <w:tc>
          <w:tcPr>
            <w:tcW w:w="1277" w:type="dxa"/>
            <w:tcBorders>
              <w:top w:val="single" w:sz="4" w:space="0" w:color="000000"/>
              <w:left w:val="single" w:sz="4" w:space="0" w:color="000000"/>
              <w:bottom w:val="single" w:sz="4" w:space="0" w:color="000000"/>
              <w:right w:val="single" w:sz="4" w:space="0" w:color="000000"/>
            </w:tcBorders>
          </w:tcPr>
          <w:p w14:paraId="7F7A49D6" w14:textId="77777777" w:rsidR="004A3CD3" w:rsidRDefault="006C0598">
            <w:pPr>
              <w:spacing w:after="0" w:line="259" w:lineRule="auto"/>
              <w:ind w:left="0" w:right="76" w:firstLine="0"/>
              <w:jc w:val="center"/>
            </w:pPr>
            <w:r>
              <w:t xml:space="preserve">1998 </w:t>
            </w:r>
          </w:p>
        </w:tc>
        <w:tc>
          <w:tcPr>
            <w:tcW w:w="7230" w:type="dxa"/>
            <w:tcBorders>
              <w:top w:val="single" w:sz="4" w:space="0" w:color="000000"/>
              <w:left w:val="single" w:sz="4" w:space="0" w:color="000000"/>
              <w:bottom w:val="single" w:sz="4" w:space="0" w:color="000000"/>
              <w:right w:val="single" w:sz="4" w:space="0" w:color="000000"/>
            </w:tcBorders>
            <w:vAlign w:val="center"/>
          </w:tcPr>
          <w:p w14:paraId="116F81E5" w14:textId="77777777" w:rsidR="004A3CD3" w:rsidRDefault="006C0598">
            <w:pPr>
              <w:spacing w:after="0" w:line="259" w:lineRule="auto"/>
              <w:ind w:left="60" w:right="0" w:hanging="60"/>
            </w:pPr>
            <w:r>
              <w:t xml:space="preserve">C.E., asbl Front commun des Groupements de Défense de la Nature, n° 74.635 of 25 June 1998 </w:t>
            </w:r>
          </w:p>
        </w:tc>
      </w:tr>
      <w:tr w:rsidR="00E933CB" w14:paraId="708F7CDA"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362C3F59" w14:textId="77777777" w:rsidR="004A3CD3" w:rsidRDefault="006C0598">
            <w:pPr>
              <w:spacing w:after="0" w:line="259" w:lineRule="auto"/>
              <w:ind w:left="22" w:right="0" w:firstLine="0"/>
              <w:jc w:val="left"/>
            </w:pPr>
            <w:r>
              <w:rPr>
                <w:rFonts w:ascii="Century Gothic" w:eastAsia="Century Gothic" w:hAnsi="Century Gothic" w:cs="Century Gothic"/>
                <w:b/>
                <w:sz w:val="20"/>
              </w:rPr>
              <w:t xml:space="preserve">M.4 </w:t>
            </w:r>
          </w:p>
        </w:tc>
        <w:tc>
          <w:tcPr>
            <w:tcW w:w="1277" w:type="dxa"/>
            <w:tcBorders>
              <w:top w:val="single" w:sz="4" w:space="0" w:color="000000"/>
              <w:left w:val="single" w:sz="4" w:space="0" w:color="000000"/>
              <w:bottom w:val="single" w:sz="4" w:space="0" w:color="000000"/>
              <w:right w:val="single" w:sz="4" w:space="0" w:color="000000"/>
            </w:tcBorders>
          </w:tcPr>
          <w:p w14:paraId="5A870947" w14:textId="77777777" w:rsidR="004A3CD3" w:rsidRDefault="006C0598">
            <w:pPr>
              <w:spacing w:after="0" w:line="259" w:lineRule="auto"/>
              <w:ind w:left="0" w:right="76" w:firstLine="0"/>
              <w:jc w:val="center"/>
            </w:pPr>
            <w:r>
              <w:t xml:space="preserve">1998 </w:t>
            </w:r>
          </w:p>
        </w:tc>
        <w:tc>
          <w:tcPr>
            <w:tcW w:w="7230" w:type="dxa"/>
            <w:tcBorders>
              <w:top w:val="single" w:sz="4" w:space="0" w:color="000000"/>
              <w:left w:val="single" w:sz="4" w:space="0" w:color="000000"/>
              <w:bottom w:val="single" w:sz="4" w:space="0" w:color="000000"/>
              <w:right w:val="single" w:sz="4" w:space="0" w:color="000000"/>
            </w:tcBorders>
            <w:vAlign w:val="center"/>
          </w:tcPr>
          <w:p w14:paraId="097BE1BB" w14:textId="77777777" w:rsidR="004A3CD3" w:rsidRDefault="006C0598">
            <w:pPr>
              <w:spacing w:after="0" w:line="259" w:lineRule="auto"/>
              <w:ind w:left="0" w:right="0" w:firstLine="0"/>
              <w:jc w:val="left"/>
            </w:pPr>
            <w:r>
              <w:t xml:space="preserve">C.E., asbl R.A.D.L.E.S., n° 71.253 of 28 January 1998  </w:t>
            </w:r>
          </w:p>
        </w:tc>
      </w:tr>
      <w:tr w:rsidR="00E933CB" w14:paraId="51C09327"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4BB5A0B2" w14:textId="77777777" w:rsidR="004A3CD3" w:rsidRDefault="006C0598">
            <w:pPr>
              <w:spacing w:after="0" w:line="259" w:lineRule="auto"/>
              <w:ind w:left="22" w:right="0" w:firstLine="0"/>
              <w:jc w:val="left"/>
            </w:pPr>
            <w:r>
              <w:rPr>
                <w:rFonts w:ascii="Century Gothic" w:eastAsia="Century Gothic" w:hAnsi="Century Gothic" w:cs="Century Gothic"/>
                <w:b/>
                <w:sz w:val="20"/>
              </w:rPr>
              <w:t xml:space="preserve">M.5 </w:t>
            </w:r>
          </w:p>
        </w:tc>
        <w:tc>
          <w:tcPr>
            <w:tcW w:w="1277" w:type="dxa"/>
            <w:tcBorders>
              <w:top w:val="single" w:sz="4" w:space="0" w:color="000000"/>
              <w:left w:val="single" w:sz="4" w:space="0" w:color="000000"/>
              <w:bottom w:val="single" w:sz="4" w:space="0" w:color="000000"/>
              <w:right w:val="single" w:sz="4" w:space="0" w:color="000000"/>
            </w:tcBorders>
          </w:tcPr>
          <w:p w14:paraId="11E29CEA" w14:textId="77777777" w:rsidR="004A3CD3" w:rsidRDefault="006C0598">
            <w:pPr>
              <w:spacing w:after="0" w:line="259" w:lineRule="auto"/>
              <w:ind w:left="0" w:right="76" w:firstLine="0"/>
              <w:jc w:val="center"/>
            </w:pPr>
            <w:r>
              <w:t xml:space="preserve">1998 </w:t>
            </w:r>
          </w:p>
        </w:tc>
        <w:tc>
          <w:tcPr>
            <w:tcW w:w="7230" w:type="dxa"/>
            <w:tcBorders>
              <w:top w:val="single" w:sz="4" w:space="0" w:color="000000"/>
              <w:left w:val="single" w:sz="4" w:space="0" w:color="000000"/>
              <w:bottom w:val="single" w:sz="4" w:space="0" w:color="000000"/>
              <w:right w:val="single" w:sz="4" w:space="0" w:color="000000"/>
            </w:tcBorders>
            <w:vAlign w:val="center"/>
          </w:tcPr>
          <w:p w14:paraId="3DAA8517" w14:textId="77777777" w:rsidR="004A3CD3" w:rsidRDefault="006C0598">
            <w:pPr>
              <w:spacing w:after="0" w:line="259" w:lineRule="auto"/>
              <w:ind w:left="0" w:right="0" w:firstLine="0"/>
              <w:jc w:val="left"/>
            </w:pPr>
            <w:r>
              <w:t xml:space="preserve">C.E., asbl R.A.D.L.E.S., n° 74.719 of 29 June 1998 </w:t>
            </w:r>
          </w:p>
        </w:tc>
      </w:tr>
      <w:tr w:rsidR="00E933CB" w14:paraId="54E30712"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63DA2A2A" w14:textId="77777777" w:rsidR="004A3CD3" w:rsidRDefault="006C0598">
            <w:pPr>
              <w:spacing w:after="0" w:line="259" w:lineRule="auto"/>
              <w:ind w:left="22" w:right="0" w:firstLine="0"/>
              <w:jc w:val="left"/>
            </w:pPr>
            <w:r>
              <w:rPr>
                <w:rFonts w:ascii="Century Gothic" w:eastAsia="Century Gothic" w:hAnsi="Century Gothic" w:cs="Century Gothic"/>
                <w:b/>
                <w:sz w:val="20"/>
              </w:rPr>
              <w:t xml:space="preserve">M.6 </w:t>
            </w:r>
          </w:p>
        </w:tc>
        <w:tc>
          <w:tcPr>
            <w:tcW w:w="1277" w:type="dxa"/>
            <w:tcBorders>
              <w:top w:val="single" w:sz="4" w:space="0" w:color="000000"/>
              <w:left w:val="single" w:sz="4" w:space="0" w:color="000000"/>
              <w:bottom w:val="single" w:sz="4" w:space="0" w:color="000000"/>
              <w:right w:val="single" w:sz="4" w:space="0" w:color="000000"/>
            </w:tcBorders>
          </w:tcPr>
          <w:p w14:paraId="439075C8" w14:textId="77777777" w:rsidR="004A3CD3" w:rsidRDefault="006C0598">
            <w:pPr>
              <w:spacing w:after="0" w:line="259" w:lineRule="auto"/>
              <w:ind w:left="0" w:right="76" w:firstLine="0"/>
              <w:jc w:val="center"/>
            </w:pPr>
            <w:r>
              <w:t xml:space="preserve">2000 </w:t>
            </w:r>
          </w:p>
        </w:tc>
        <w:tc>
          <w:tcPr>
            <w:tcW w:w="7230" w:type="dxa"/>
            <w:tcBorders>
              <w:top w:val="single" w:sz="4" w:space="0" w:color="000000"/>
              <w:left w:val="single" w:sz="4" w:space="0" w:color="000000"/>
              <w:bottom w:val="single" w:sz="4" w:space="0" w:color="000000"/>
              <w:right w:val="single" w:sz="4" w:space="0" w:color="000000"/>
            </w:tcBorders>
            <w:vAlign w:val="center"/>
          </w:tcPr>
          <w:p w14:paraId="18036269" w14:textId="77777777" w:rsidR="004A3CD3" w:rsidRDefault="006C0598">
            <w:pPr>
              <w:spacing w:after="0" w:line="259" w:lineRule="auto"/>
              <w:ind w:left="0" w:right="0" w:firstLine="0"/>
              <w:jc w:val="left"/>
            </w:pPr>
            <w:r>
              <w:t xml:space="preserve">C.C., judgment no. 76/2000 of 21 June 2000 </w:t>
            </w:r>
          </w:p>
        </w:tc>
      </w:tr>
      <w:tr w:rsidR="00E933CB" w14:paraId="509187F6" w14:textId="77777777">
        <w:trPr>
          <w:trHeight w:val="519"/>
        </w:trPr>
        <w:tc>
          <w:tcPr>
            <w:tcW w:w="674" w:type="dxa"/>
            <w:tcBorders>
              <w:top w:val="single" w:sz="4" w:space="0" w:color="000000"/>
              <w:left w:val="single" w:sz="4" w:space="0" w:color="000000"/>
              <w:bottom w:val="single" w:sz="4" w:space="0" w:color="000000"/>
              <w:right w:val="single" w:sz="4" w:space="0" w:color="000000"/>
            </w:tcBorders>
          </w:tcPr>
          <w:p w14:paraId="24932ED5" w14:textId="77777777" w:rsidR="004A3CD3" w:rsidRDefault="006C0598">
            <w:pPr>
              <w:spacing w:after="0" w:line="259" w:lineRule="auto"/>
              <w:ind w:left="22" w:right="0" w:firstLine="0"/>
              <w:jc w:val="left"/>
            </w:pPr>
            <w:r>
              <w:rPr>
                <w:rFonts w:ascii="Century Gothic" w:eastAsia="Century Gothic" w:hAnsi="Century Gothic" w:cs="Century Gothic"/>
                <w:b/>
                <w:sz w:val="20"/>
              </w:rPr>
              <w:t xml:space="preserve">M.7 </w:t>
            </w:r>
          </w:p>
        </w:tc>
        <w:tc>
          <w:tcPr>
            <w:tcW w:w="1277" w:type="dxa"/>
            <w:tcBorders>
              <w:top w:val="single" w:sz="4" w:space="0" w:color="000000"/>
              <w:left w:val="single" w:sz="4" w:space="0" w:color="000000"/>
              <w:bottom w:val="single" w:sz="4" w:space="0" w:color="000000"/>
              <w:right w:val="single" w:sz="4" w:space="0" w:color="000000"/>
            </w:tcBorders>
          </w:tcPr>
          <w:p w14:paraId="3D786D6E" w14:textId="77777777" w:rsidR="004A3CD3" w:rsidRDefault="006C0598">
            <w:pPr>
              <w:spacing w:after="0" w:line="259" w:lineRule="auto"/>
              <w:ind w:left="0" w:right="98" w:firstLine="0"/>
              <w:jc w:val="center"/>
            </w:pPr>
            <w:r>
              <w:t xml:space="preserve">2001 </w:t>
            </w:r>
          </w:p>
        </w:tc>
        <w:tc>
          <w:tcPr>
            <w:tcW w:w="7230" w:type="dxa"/>
            <w:tcBorders>
              <w:top w:val="single" w:sz="4" w:space="0" w:color="000000"/>
              <w:left w:val="single" w:sz="4" w:space="0" w:color="000000"/>
              <w:bottom w:val="single" w:sz="4" w:space="0" w:color="000000"/>
              <w:right w:val="single" w:sz="4" w:space="0" w:color="000000"/>
            </w:tcBorders>
            <w:vAlign w:val="center"/>
          </w:tcPr>
          <w:p w14:paraId="500AFCD0" w14:textId="77777777" w:rsidR="004A3CD3" w:rsidRDefault="006C0598">
            <w:pPr>
              <w:spacing w:after="0" w:line="259" w:lineRule="auto"/>
              <w:ind w:left="0" w:right="0" w:firstLine="0"/>
              <w:jc w:val="left"/>
            </w:pPr>
            <w:r>
              <w:t xml:space="preserve">E.C., Bond Beter Leefmilieu vzw, n° 96.101 of 5 June 2001 </w:t>
            </w:r>
          </w:p>
        </w:tc>
      </w:tr>
      <w:tr w:rsidR="00E933CB" w14:paraId="3DE5542A"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7A19BE62" w14:textId="77777777" w:rsidR="004A3CD3" w:rsidRDefault="006C0598">
            <w:pPr>
              <w:spacing w:after="0" w:line="259" w:lineRule="auto"/>
              <w:ind w:left="22" w:right="0" w:firstLine="0"/>
              <w:jc w:val="left"/>
            </w:pPr>
            <w:r>
              <w:rPr>
                <w:rFonts w:ascii="Century Gothic" w:eastAsia="Century Gothic" w:hAnsi="Century Gothic" w:cs="Century Gothic"/>
                <w:b/>
                <w:sz w:val="20"/>
              </w:rPr>
              <w:t xml:space="preserve">M.8 </w:t>
            </w:r>
          </w:p>
        </w:tc>
        <w:tc>
          <w:tcPr>
            <w:tcW w:w="1277" w:type="dxa"/>
            <w:tcBorders>
              <w:top w:val="single" w:sz="4" w:space="0" w:color="000000"/>
              <w:left w:val="single" w:sz="4" w:space="0" w:color="000000"/>
              <w:bottom w:val="single" w:sz="4" w:space="0" w:color="000000"/>
              <w:right w:val="single" w:sz="4" w:space="0" w:color="000000"/>
            </w:tcBorders>
          </w:tcPr>
          <w:p w14:paraId="48A9A385" w14:textId="77777777" w:rsidR="004A3CD3" w:rsidRDefault="006C0598">
            <w:pPr>
              <w:spacing w:after="0" w:line="259" w:lineRule="auto"/>
              <w:ind w:left="0" w:right="98" w:firstLine="0"/>
              <w:jc w:val="center"/>
            </w:pPr>
            <w:r>
              <w:t xml:space="preserve">2002 </w:t>
            </w:r>
          </w:p>
        </w:tc>
        <w:tc>
          <w:tcPr>
            <w:tcW w:w="7230" w:type="dxa"/>
            <w:tcBorders>
              <w:top w:val="single" w:sz="4" w:space="0" w:color="000000"/>
              <w:left w:val="single" w:sz="4" w:space="0" w:color="000000"/>
              <w:bottom w:val="single" w:sz="4" w:space="0" w:color="000000"/>
              <w:right w:val="single" w:sz="4" w:space="0" w:color="000000"/>
            </w:tcBorders>
            <w:vAlign w:val="center"/>
          </w:tcPr>
          <w:p w14:paraId="2EF31124" w14:textId="77777777" w:rsidR="004A3CD3" w:rsidRDefault="006C0598">
            <w:pPr>
              <w:spacing w:after="0" w:line="259" w:lineRule="auto"/>
              <w:ind w:left="0" w:right="0" w:firstLine="0"/>
              <w:jc w:val="left"/>
            </w:pPr>
            <w:r>
              <w:t xml:space="preserve">C.E., asbl Inter-Environnement Wallonie, n° 107.820 of 13 June 2002 </w:t>
            </w:r>
          </w:p>
        </w:tc>
      </w:tr>
      <w:tr w:rsidR="00E933CB" w14:paraId="3CC24695"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21DAB10B" w14:textId="77777777" w:rsidR="004A3CD3" w:rsidRDefault="006C0598">
            <w:pPr>
              <w:spacing w:after="0" w:line="259" w:lineRule="auto"/>
              <w:ind w:left="22" w:right="0" w:firstLine="0"/>
              <w:jc w:val="left"/>
            </w:pPr>
            <w:r>
              <w:rPr>
                <w:rFonts w:ascii="Century Gothic" w:eastAsia="Century Gothic" w:hAnsi="Century Gothic" w:cs="Century Gothic"/>
                <w:b/>
                <w:sz w:val="20"/>
              </w:rPr>
              <w:t xml:space="preserve">M.9 </w:t>
            </w:r>
          </w:p>
        </w:tc>
        <w:tc>
          <w:tcPr>
            <w:tcW w:w="1277" w:type="dxa"/>
            <w:tcBorders>
              <w:top w:val="single" w:sz="4" w:space="0" w:color="000000"/>
              <w:left w:val="single" w:sz="4" w:space="0" w:color="000000"/>
              <w:bottom w:val="single" w:sz="4" w:space="0" w:color="000000"/>
              <w:right w:val="single" w:sz="4" w:space="0" w:color="000000"/>
            </w:tcBorders>
          </w:tcPr>
          <w:p w14:paraId="5DC6A80B" w14:textId="77777777" w:rsidR="004A3CD3" w:rsidRDefault="006C0598">
            <w:pPr>
              <w:spacing w:after="0" w:line="259" w:lineRule="auto"/>
              <w:ind w:left="0" w:right="98" w:firstLine="0"/>
              <w:jc w:val="center"/>
            </w:pPr>
            <w:r>
              <w:t xml:space="preserve">2003 </w:t>
            </w:r>
          </w:p>
        </w:tc>
        <w:tc>
          <w:tcPr>
            <w:tcW w:w="7230" w:type="dxa"/>
            <w:tcBorders>
              <w:top w:val="single" w:sz="4" w:space="0" w:color="000000"/>
              <w:left w:val="single" w:sz="4" w:space="0" w:color="000000"/>
              <w:bottom w:val="single" w:sz="4" w:space="0" w:color="000000"/>
              <w:right w:val="single" w:sz="4" w:space="0" w:color="000000"/>
            </w:tcBorders>
            <w:vAlign w:val="center"/>
          </w:tcPr>
          <w:p w14:paraId="29299EEA" w14:textId="77777777" w:rsidR="004A3CD3" w:rsidRDefault="006C0598">
            <w:pPr>
              <w:spacing w:after="0" w:line="259" w:lineRule="auto"/>
              <w:ind w:left="0" w:right="0" w:firstLine="0"/>
              <w:jc w:val="left"/>
            </w:pPr>
            <w:r>
              <w:t xml:space="preserve">E.C., Bond Beter Leefmilieu vzw, n° 117.681 of 28 March 2003 </w:t>
            </w:r>
          </w:p>
        </w:tc>
      </w:tr>
      <w:tr w:rsidR="00E933CB" w14:paraId="3D0C5D4E" w14:textId="77777777">
        <w:trPr>
          <w:trHeight w:val="518"/>
        </w:trPr>
        <w:tc>
          <w:tcPr>
            <w:tcW w:w="674" w:type="dxa"/>
            <w:tcBorders>
              <w:top w:val="single" w:sz="4" w:space="0" w:color="000000"/>
              <w:left w:val="single" w:sz="4" w:space="0" w:color="000000"/>
              <w:bottom w:val="single" w:sz="4" w:space="0" w:color="000000"/>
              <w:right w:val="single" w:sz="4" w:space="0" w:color="000000"/>
            </w:tcBorders>
            <w:vAlign w:val="center"/>
          </w:tcPr>
          <w:p w14:paraId="041A983A"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M.10 </w:t>
            </w:r>
          </w:p>
        </w:tc>
        <w:tc>
          <w:tcPr>
            <w:tcW w:w="1277" w:type="dxa"/>
            <w:tcBorders>
              <w:top w:val="single" w:sz="4" w:space="0" w:color="000000"/>
              <w:left w:val="single" w:sz="4" w:space="0" w:color="000000"/>
              <w:bottom w:val="single" w:sz="4" w:space="0" w:color="000000"/>
              <w:right w:val="single" w:sz="4" w:space="0" w:color="000000"/>
            </w:tcBorders>
          </w:tcPr>
          <w:p w14:paraId="0B4E913C" w14:textId="77777777" w:rsidR="004A3CD3" w:rsidRDefault="006C0598">
            <w:pPr>
              <w:spacing w:after="0" w:line="259" w:lineRule="auto"/>
              <w:ind w:left="0" w:right="98" w:firstLine="0"/>
              <w:jc w:val="center"/>
            </w:pPr>
            <w:r>
              <w:t xml:space="preserve">2004 </w:t>
            </w:r>
          </w:p>
        </w:tc>
        <w:tc>
          <w:tcPr>
            <w:tcW w:w="7230" w:type="dxa"/>
            <w:tcBorders>
              <w:top w:val="single" w:sz="4" w:space="0" w:color="000000"/>
              <w:left w:val="single" w:sz="4" w:space="0" w:color="000000"/>
              <w:bottom w:val="single" w:sz="4" w:space="0" w:color="000000"/>
              <w:right w:val="single" w:sz="4" w:space="0" w:color="000000"/>
            </w:tcBorders>
            <w:vAlign w:val="center"/>
          </w:tcPr>
          <w:p w14:paraId="60266C0F" w14:textId="77777777" w:rsidR="004A3CD3" w:rsidRDefault="006C0598">
            <w:pPr>
              <w:spacing w:after="0" w:line="259" w:lineRule="auto"/>
              <w:ind w:left="0" w:right="0" w:firstLine="0"/>
              <w:jc w:val="left"/>
            </w:pPr>
            <w:r>
              <w:t xml:space="preserve">Cass. (1st ch.), March 4, 2004, R.G. C.03.0346.N and C.03.0448.N. </w:t>
            </w:r>
          </w:p>
        </w:tc>
      </w:tr>
      <w:tr w:rsidR="00E933CB" w14:paraId="7130BA97" w14:textId="77777777">
        <w:trPr>
          <w:trHeight w:val="521"/>
        </w:trPr>
        <w:tc>
          <w:tcPr>
            <w:tcW w:w="674" w:type="dxa"/>
            <w:tcBorders>
              <w:top w:val="single" w:sz="4" w:space="0" w:color="000000"/>
              <w:left w:val="single" w:sz="4" w:space="0" w:color="000000"/>
              <w:bottom w:val="single" w:sz="4" w:space="0" w:color="000000"/>
              <w:right w:val="single" w:sz="4" w:space="0" w:color="000000"/>
            </w:tcBorders>
            <w:vAlign w:val="center"/>
          </w:tcPr>
          <w:p w14:paraId="1E645BB8"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M.11 </w:t>
            </w:r>
          </w:p>
        </w:tc>
        <w:tc>
          <w:tcPr>
            <w:tcW w:w="1277" w:type="dxa"/>
            <w:tcBorders>
              <w:top w:val="single" w:sz="4" w:space="0" w:color="000000"/>
              <w:left w:val="single" w:sz="4" w:space="0" w:color="000000"/>
              <w:bottom w:val="single" w:sz="4" w:space="0" w:color="000000"/>
              <w:right w:val="single" w:sz="4" w:space="0" w:color="000000"/>
            </w:tcBorders>
          </w:tcPr>
          <w:p w14:paraId="0B1F6848" w14:textId="77777777" w:rsidR="004A3CD3" w:rsidRDefault="006C0598">
            <w:pPr>
              <w:spacing w:after="0" w:line="259" w:lineRule="auto"/>
              <w:ind w:left="0" w:right="98" w:firstLine="0"/>
              <w:jc w:val="center"/>
            </w:pPr>
            <w:r>
              <w:t xml:space="preserve">2004 </w:t>
            </w:r>
          </w:p>
        </w:tc>
        <w:tc>
          <w:tcPr>
            <w:tcW w:w="7230" w:type="dxa"/>
            <w:tcBorders>
              <w:top w:val="single" w:sz="4" w:space="0" w:color="000000"/>
              <w:left w:val="single" w:sz="4" w:space="0" w:color="000000"/>
              <w:bottom w:val="single" w:sz="4" w:space="0" w:color="000000"/>
              <w:right w:val="single" w:sz="4" w:space="0" w:color="000000"/>
            </w:tcBorders>
            <w:vAlign w:val="center"/>
          </w:tcPr>
          <w:p w14:paraId="4EF03BBE" w14:textId="77777777" w:rsidR="004A3CD3" w:rsidRDefault="006C0598">
            <w:pPr>
              <w:spacing w:after="0" w:line="259" w:lineRule="auto"/>
              <w:ind w:left="0" w:right="0" w:firstLine="0"/>
              <w:jc w:val="left"/>
            </w:pPr>
            <w:r>
              <w:t xml:space="preserve">Cass. 25 October 2004, </w:t>
            </w:r>
            <w:r>
              <w:rPr>
                <w:i/>
              </w:rPr>
              <w:t xml:space="preserve">J.L.M.B., 2005 </w:t>
            </w:r>
          </w:p>
        </w:tc>
      </w:tr>
      <w:tr w:rsidR="00E933CB" w14:paraId="749A2E17" w14:textId="77777777">
        <w:trPr>
          <w:trHeight w:val="518"/>
        </w:trPr>
        <w:tc>
          <w:tcPr>
            <w:tcW w:w="674" w:type="dxa"/>
            <w:tcBorders>
              <w:top w:val="single" w:sz="4" w:space="0" w:color="000000"/>
              <w:left w:val="single" w:sz="4" w:space="0" w:color="000000"/>
              <w:bottom w:val="single" w:sz="4" w:space="0" w:color="000000"/>
              <w:right w:val="single" w:sz="4" w:space="0" w:color="000000"/>
            </w:tcBorders>
            <w:vAlign w:val="center"/>
          </w:tcPr>
          <w:p w14:paraId="75733980"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M.12 </w:t>
            </w:r>
          </w:p>
        </w:tc>
        <w:tc>
          <w:tcPr>
            <w:tcW w:w="1277" w:type="dxa"/>
            <w:tcBorders>
              <w:top w:val="single" w:sz="4" w:space="0" w:color="000000"/>
              <w:left w:val="single" w:sz="4" w:space="0" w:color="000000"/>
              <w:bottom w:val="single" w:sz="4" w:space="0" w:color="000000"/>
              <w:right w:val="single" w:sz="4" w:space="0" w:color="000000"/>
            </w:tcBorders>
          </w:tcPr>
          <w:p w14:paraId="6071CD13" w14:textId="77777777" w:rsidR="004A3CD3" w:rsidRDefault="006C0598">
            <w:pPr>
              <w:spacing w:after="0" w:line="259" w:lineRule="auto"/>
              <w:ind w:left="0" w:right="98" w:firstLine="0"/>
              <w:jc w:val="center"/>
            </w:pPr>
            <w:r>
              <w:t xml:space="preserve">2006 </w:t>
            </w:r>
          </w:p>
        </w:tc>
        <w:tc>
          <w:tcPr>
            <w:tcW w:w="7230" w:type="dxa"/>
            <w:tcBorders>
              <w:top w:val="single" w:sz="4" w:space="0" w:color="000000"/>
              <w:left w:val="single" w:sz="4" w:space="0" w:color="000000"/>
              <w:bottom w:val="single" w:sz="4" w:space="0" w:color="000000"/>
              <w:right w:val="single" w:sz="4" w:space="0" w:color="000000"/>
            </w:tcBorders>
            <w:vAlign w:val="center"/>
          </w:tcPr>
          <w:p w14:paraId="08D52933" w14:textId="77777777" w:rsidR="004A3CD3" w:rsidRDefault="006C0598">
            <w:pPr>
              <w:spacing w:after="0" w:line="259" w:lineRule="auto"/>
              <w:ind w:left="0" w:right="0" w:firstLine="0"/>
              <w:jc w:val="left"/>
            </w:pPr>
            <w:r>
              <w:t xml:space="preserve">Cass. 28 September 2006, C.020570.F </w:t>
            </w:r>
          </w:p>
        </w:tc>
      </w:tr>
      <w:tr w:rsidR="00E933CB" w14:paraId="60AA82F9" w14:textId="77777777">
        <w:trPr>
          <w:trHeight w:val="518"/>
        </w:trPr>
        <w:tc>
          <w:tcPr>
            <w:tcW w:w="674" w:type="dxa"/>
            <w:tcBorders>
              <w:top w:val="single" w:sz="4" w:space="0" w:color="000000"/>
              <w:left w:val="single" w:sz="4" w:space="0" w:color="000000"/>
              <w:bottom w:val="single" w:sz="4" w:space="0" w:color="000000"/>
              <w:right w:val="single" w:sz="4" w:space="0" w:color="000000"/>
            </w:tcBorders>
            <w:vAlign w:val="center"/>
          </w:tcPr>
          <w:p w14:paraId="59E71AC5"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M.13 </w:t>
            </w:r>
          </w:p>
        </w:tc>
        <w:tc>
          <w:tcPr>
            <w:tcW w:w="1277" w:type="dxa"/>
            <w:tcBorders>
              <w:top w:val="single" w:sz="4" w:space="0" w:color="000000"/>
              <w:left w:val="single" w:sz="4" w:space="0" w:color="000000"/>
              <w:bottom w:val="single" w:sz="4" w:space="0" w:color="000000"/>
              <w:right w:val="single" w:sz="4" w:space="0" w:color="000000"/>
            </w:tcBorders>
          </w:tcPr>
          <w:p w14:paraId="11FADF7F" w14:textId="77777777" w:rsidR="004A3CD3" w:rsidRDefault="006C0598">
            <w:pPr>
              <w:spacing w:after="0" w:line="259" w:lineRule="auto"/>
              <w:ind w:left="0" w:right="98" w:firstLine="0"/>
              <w:jc w:val="center"/>
            </w:pPr>
            <w:r>
              <w:t xml:space="preserve">2008 </w:t>
            </w:r>
          </w:p>
        </w:tc>
        <w:tc>
          <w:tcPr>
            <w:tcW w:w="7230" w:type="dxa"/>
            <w:tcBorders>
              <w:top w:val="single" w:sz="4" w:space="0" w:color="000000"/>
              <w:left w:val="single" w:sz="4" w:space="0" w:color="000000"/>
              <w:bottom w:val="single" w:sz="4" w:space="0" w:color="000000"/>
              <w:right w:val="single" w:sz="4" w:space="0" w:color="000000"/>
            </w:tcBorders>
            <w:vAlign w:val="center"/>
          </w:tcPr>
          <w:p w14:paraId="605CBC23" w14:textId="77777777" w:rsidR="004A3CD3" w:rsidRDefault="006C0598">
            <w:pPr>
              <w:spacing w:after="0" w:line="259" w:lineRule="auto"/>
              <w:ind w:left="0" w:right="0" w:firstLine="0"/>
              <w:jc w:val="left"/>
            </w:pPr>
            <w:r>
              <w:t xml:space="preserve">EC, Coomans and others, no. 187.998 of 17 November 2008 </w:t>
            </w:r>
          </w:p>
        </w:tc>
      </w:tr>
      <w:tr w:rsidR="00E933CB" w14:paraId="45BB1871" w14:textId="77777777">
        <w:trPr>
          <w:trHeight w:val="519"/>
        </w:trPr>
        <w:tc>
          <w:tcPr>
            <w:tcW w:w="674" w:type="dxa"/>
            <w:tcBorders>
              <w:top w:val="single" w:sz="4" w:space="0" w:color="000000"/>
              <w:left w:val="single" w:sz="4" w:space="0" w:color="000000"/>
              <w:bottom w:val="single" w:sz="4" w:space="0" w:color="000000"/>
              <w:right w:val="single" w:sz="4" w:space="0" w:color="000000"/>
            </w:tcBorders>
            <w:vAlign w:val="center"/>
          </w:tcPr>
          <w:p w14:paraId="086F78C1"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M.14 </w:t>
            </w:r>
          </w:p>
        </w:tc>
        <w:tc>
          <w:tcPr>
            <w:tcW w:w="1277" w:type="dxa"/>
            <w:tcBorders>
              <w:top w:val="single" w:sz="4" w:space="0" w:color="000000"/>
              <w:left w:val="single" w:sz="4" w:space="0" w:color="000000"/>
              <w:bottom w:val="single" w:sz="4" w:space="0" w:color="000000"/>
              <w:right w:val="single" w:sz="4" w:space="0" w:color="000000"/>
            </w:tcBorders>
          </w:tcPr>
          <w:p w14:paraId="377845FA" w14:textId="77777777" w:rsidR="004A3CD3" w:rsidRDefault="006C0598">
            <w:pPr>
              <w:spacing w:after="0" w:line="259" w:lineRule="auto"/>
              <w:ind w:left="0" w:right="98" w:firstLine="0"/>
              <w:jc w:val="center"/>
            </w:pPr>
            <w:r>
              <w:t xml:space="preserve">2008 </w:t>
            </w:r>
          </w:p>
        </w:tc>
        <w:tc>
          <w:tcPr>
            <w:tcW w:w="7230" w:type="dxa"/>
            <w:tcBorders>
              <w:top w:val="single" w:sz="4" w:space="0" w:color="000000"/>
              <w:left w:val="single" w:sz="4" w:space="0" w:color="000000"/>
              <w:bottom w:val="single" w:sz="4" w:space="0" w:color="000000"/>
              <w:right w:val="single" w:sz="4" w:space="0" w:color="000000"/>
            </w:tcBorders>
            <w:vAlign w:val="center"/>
          </w:tcPr>
          <w:p w14:paraId="1C2154B3" w14:textId="77777777" w:rsidR="004A3CD3" w:rsidRDefault="006C0598">
            <w:pPr>
              <w:spacing w:after="0" w:line="259" w:lineRule="auto"/>
              <w:ind w:left="0" w:right="0" w:firstLine="0"/>
              <w:jc w:val="left"/>
            </w:pPr>
            <w:r>
              <w:t xml:space="preserve">Cass., 3 January 2008, R.G. n° C.06.0322.N </w:t>
            </w:r>
          </w:p>
        </w:tc>
      </w:tr>
      <w:tr w:rsidR="00E933CB" w14:paraId="48BE43A6" w14:textId="77777777">
        <w:trPr>
          <w:trHeight w:val="518"/>
        </w:trPr>
        <w:tc>
          <w:tcPr>
            <w:tcW w:w="674" w:type="dxa"/>
            <w:tcBorders>
              <w:top w:val="single" w:sz="4" w:space="0" w:color="000000"/>
              <w:left w:val="single" w:sz="4" w:space="0" w:color="000000"/>
              <w:bottom w:val="single" w:sz="4" w:space="0" w:color="000000"/>
              <w:right w:val="single" w:sz="4" w:space="0" w:color="000000"/>
            </w:tcBorders>
            <w:vAlign w:val="center"/>
          </w:tcPr>
          <w:p w14:paraId="35A5707B"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M.15 </w:t>
            </w:r>
          </w:p>
        </w:tc>
        <w:tc>
          <w:tcPr>
            <w:tcW w:w="1277" w:type="dxa"/>
            <w:tcBorders>
              <w:top w:val="single" w:sz="4" w:space="0" w:color="000000"/>
              <w:left w:val="single" w:sz="4" w:space="0" w:color="000000"/>
              <w:bottom w:val="single" w:sz="4" w:space="0" w:color="000000"/>
              <w:right w:val="single" w:sz="4" w:space="0" w:color="000000"/>
            </w:tcBorders>
          </w:tcPr>
          <w:p w14:paraId="26D8F8D3" w14:textId="77777777" w:rsidR="004A3CD3" w:rsidRDefault="006C0598">
            <w:pPr>
              <w:spacing w:after="0" w:line="259" w:lineRule="auto"/>
              <w:ind w:left="0" w:right="98" w:firstLine="0"/>
              <w:jc w:val="center"/>
            </w:pPr>
            <w:r>
              <w:t xml:space="preserve">2010 </w:t>
            </w:r>
          </w:p>
        </w:tc>
        <w:tc>
          <w:tcPr>
            <w:tcW w:w="7230" w:type="dxa"/>
            <w:tcBorders>
              <w:top w:val="single" w:sz="4" w:space="0" w:color="000000"/>
              <w:left w:val="single" w:sz="4" w:space="0" w:color="000000"/>
              <w:bottom w:val="single" w:sz="4" w:space="0" w:color="000000"/>
              <w:right w:val="single" w:sz="4" w:space="0" w:color="000000"/>
            </w:tcBorders>
            <w:vAlign w:val="center"/>
          </w:tcPr>
          <w:p w14:paraId="6CCE7DD5" w14:textId="77777777" w:rsidR="004A3CD3" w:rsidRDefault="006C0598">
            <w:pPr>
              <w:spacing w:after="0" w:line="259" w:lineRule="auto"/>
              <w:ind w:left="0" w:right="0" w:firstLine="0"/>
              <w:jc w:val="left"/>
            </w:pPr>
            <w:r>
              <w:t xml:space="preserve">E.C., judgment no. 203.430 of 29 April 2010 </w:t>
            </w:r>
          </w:p>
        </w:tc>
      </w:tr>
      <w:tr w:rsidR="00E933CB" w14:paraId="162D7E28" w14:textId="77777777">
        <w:trPr>
          <w:trHeight w:val="518"/>
        </w:trPr>
        <w:tc>
          <w:tcPr>
            <w:tcW w:w="674" w:type="dxa"/>
            <w:tcBorders>
              <w:top w:val="single" w:sz="4" w:space="0" w:color="000000"/>
              <w:left w:val="single" w:sz="4" w:space="0" w:color="000000"/>
              <w:bottom w:val="single" w:sz="4" w:space="0" w:color="000000"/>
              <w:right w:val="single" w:sz="4" w:space="0" w:color="000000"/>
            </w:tcBorders>
            <w:vAlign w:val="center"/>
          </w:tcPr>
          <w:p w14:paraId="4636071A"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M.16 </w:t>
            </w:r>
          </w:p>
        </w:tc>
        <w:tc>
          <w:tcPr>
            <w:tcW w:w="1277" w:type="dxa"/>
            <w:tcBorders>
              <w:top w:val="single" w:sz="4" w:space="0" w:color="000000"/>
              <w:left w:val="single" w:sz="4" w:space="0" w:color="000000"/>
              <w:bottom w:val="single" w:sz="4" w:space="0" w:color="000000"/>
              <w:right w:val="single" w:sz="4" w:space="0" w:color="000000"/>
            </w:tcBorders>
          </w:tcPr>
          <w:p w14:paraId="21BB5B72" w14:textId="77777777" w:rsidR="004A3CD3" w:rsidRDefault="006C0598">
            <w:pPr>
              <w:spacing w:after="0" w:line="259" w:lineRule="auto"/>
              <w:ind w:left="0" w:right="98" w:firstLine="0"/>
              <w:jc w:val="center"/>
            </w:pPr>
            <w:r>
              <w:t xml:space="preserve">2010 </w:t>
            </w:r>
          </w:p>
        </w:tc>
        <w:tc>
          <w:tcPr>
            <w:tcW w:w="7230" w:type="dxa"/>
            <w:tcBorders>
              <w:top w:val="single" w:sz="4" w:space="0" w:color="000000"/>
              <w:left w:val="single" w:sz="4" w:space="0" w:color="000000"/>
              <w:bottom w:val="single" w:sz="4" w:space="0" w:color="000000"/>
              <w:right w:val="single" w:sz="4" w:space="0" w:color="000000"/>
            </w:tcBorders>
            <w:vAlign w:val="center"/>
          </w:tcPr>
          <w:p w14:paraId="2BAFE694" w14:textId="77777777" w:rsidR="004A3CD3" w:rsidRDefault="006C0598">
            <w:pPr>
              <w:spacing w:after="0" w:line="259" w:lineRule="auto"/>
              <w:ind w:left="0" w:right="0" w:firstLine="0"/>
              <w:jc w:val="left"/>
            </w:pPr>
            <w:r>
              <w:t xml:space="preserve">Cass. 10 September 2010, </w:t>
            </w:r>
            <w:r>
              <w:rPr>
                <w:i/>
              </w:rPr>
              <w:t xml:space="preserve">Pas. </w:t>
            </w:r>
            <w:r>
              <w:t xml:space="preserve">2010, No. 508 </w:t>
            </w:r>
          </w:p>
        </w:tc>
      </w:tr>
      <w:tr w:rsidR="00E933CB" w14:paraId="00F57CC0"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6A4D7575"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M.17 </w:t>
            </w:r>
          </w:p>
        </w:tc>
        <w:tc>
          <w:tcPr>
            <w:tcW w:w="1277" w:type="dxa"/>
            <w:tcBorders>
              <w:top w:val="single" w:sz="4" w:space="0" w:color="000000"/>
              <w:left w:val="single" w:sz="4" w:space="0" w:color="000000"/>
              <w:bottom w:val="single" w:sz="4" w:space="0" w:color="000000"/>
              <w:right w:val="single" w:sz="4" w:space="0" w:color="000000"/>
            </w:tcBorders>
          </w:tcPr>
          <w:p w14:paraId="389FFACC" w14:textId="77777777" w:rsidR="004A3CD3" w:rsidRDefault="006C0598">
            <w:pPr>
              <w:spacing w:after="0" w:line="259" w:lineRule="auto"/>
              <w:ind w:left="0" w:right="98" w:firstLine="0"/>
              <w:jc w:val="center"/>
            </w:pPr>
            <w:r>
              <w:t xml:space="preserve">2012 </w:t>
            </w:r>
          </w:p>
        </w:tc>
        <w:tc>
          <w:tcPr>
            <w:tcW w:w="7230" w:type="dxa"/>
            <w:tcBorders>
              <w:top w:val="single" w:sz="4" w:space="0" w:color="000000"/>
              <w:left w:val="single" w:sz="4" w:space="0" w:color="000000"/>
              <w:bottom w:val="single" w:sz="4" w:space="0" w:color="000000"/>
              <w:right w:val="single" w:sz="4" w:space="0" w:color="000000"/>
            </w:tcBorders>
            <w:vAlign w:val="center"/>
          </w:tcPr>
          <w:p w14:paraId="6C653029" w14:textId="77777777" w:rsidR="004A3CD3" w:rsidRDefault="006C0598">
            <w:pPr>
              <w:spacing w:after="0" w:line="259" w:lineRule="auto"/>
              <w:ind w:left="0" w:right="0" w:firstLine="0"/>
              <w:jc w:val="left"/>
            </w:pPr>
            <w:r>
              <w:t xml:space="preserve">Cass. 5 May 2011, </w:t>
            </w:r>
            <w:r>
              <w:rPr>
                <w:i/>
              </w:rPr>
              <w:t>R.C.J.B.</w:t>
            </w:r>
            <w:r>
              <w:t xml:space="preserve">, 2012, n°3 </w:t>
            </w:r>
          </w:p>
        </w:tc>
      </w:tr>
      <w:tr w:rsidR="00E933CB" w14:paraId="5D8F18CD" w14:textId="77777777">
        <w:trPr>
          <w:trHeight w:val="518"/>
        </w:trPr>
        <w:tc>
          <w:tcPr>
            <w:tcW w:w="674" w:type="dxa"/>
            <w:tcBorders>
              <w:top w:val="single" w:sz="4" w:space="0" w:color="000000"/>
              <w:left w:val="single" w:sz="4" w:space="0" w:color="000000"/>
              <w:bottom w:val="single" w:sz="4" w:space="0" w:color="000000"/>
              <w:right w:val="single" w:sz="4" w:space="0" w:color="000000"/>
            </w:tcBorders>
            <w:vAlign w:val="center"/>
          </w:tcPr>
          <w:p w14:paraId="64BF7BEF"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M.18 </w:t>
            </w:r>
          </w:p>
        </w:tc>
        <w:tc>
          <w:tcPr>
            <w:tcW w:w="1277" w:type="dxa"/>
            <w:tcBorders>
              <w:top w:val="single" w:sz="4" w:space="0" w:color="000000"/>
              <w:left w:val="single" w:sz="4" w:space="0" w:color="000000"/>
              <w:bottom w:val="single" w:sz="4" w:space="0" w:color="000000"/>
              <w:right w:val="single" w:sz="4" w:space="0" w:color="000000"/>
            </w:tcBorders>
          </w:tcPr>
          <w:p w14:paraId="210263C8" w14:textId="77777777" w:rsidR="004A3CD3" w:rsidRDefault="006C0598">
            <w:pPr>
              <w:spacing w:after="0" w:line="259" w:lineRule="auto"/>
              <w:ind w:left="0" w:right="98" w:firstLine="0"/>
              <w:jc w:val="center"/>
            </w:pPr>
            <w:r>
              <w:t xml:space="preserve">2013 </w:t>
            </w:r>
          </w:p>
        </w:tc>
        <w:tc>
          <w:tcPr>
            <w:tcW w:w="7230" w:type="dxa"/>
            <w:tcBorders>
              <w:top w:val="single" w:sz="4" w:space="0" w:color="000000"/>
              <w:left w:val="single" w:sz="4" w:space="0" w:color="000000"/>
              <w:bottom w:val="single" w:sz="4" w:space="0" w:color="000000"/>
              <w:right w:val="single" w:sz="4" w:space="0" w:color="000000"/>
            </w:tcBorders>
            <w:vAlign w:val="center"/>
          </w:tcPr>
          <w:p w14:paraId="73BABA6F" w14:textId="77777777" w:rsidR="004A3CD3" w:rsidRDefault="006C0598">
            <w:pPr>
              <w:spacing w:after="0" w:line="259" w:lineRule="auto"/>
              <w:ind w:left="0" w:right="0" w:firstLine="0"/>
              <w:jc w:val="left"/>
            </w:pPr>
            <w:r>
              <w:t xml:space="preserve">C. Const. n°133/2013 of 10 October 2013 </w:t>
            </w:r>
          </w:p>
        </w:tc>
      </w:tr>
      <w:tr w:rsidR="00E933CB" w14:paraId="0B958BAA" w14:textId="77777777">
        <w:trPr>
          <w:trHeight w:val="518"/>
        </w:trPr>
        <w:tc>
          <w:tcPr>
            <w:tcW w:w="674" w:type="dxa"/>
            <w:tcBorders>
              <w:top w:val="single" w:sz="4" w:space="0" w:color="000000"/>
              <w:left w:val="single" w:sz="4" w:space="0" w:color="000000"/>
              <w:bottom w:val="single" w:sz="4" w:space="0" w:color="000000"/>
              <w:right w:val="single" w:sz="4" w:space="0" w:color="000000"/>
            </w:tcBorders>
            <w:vAlign w:val="center"/>
          </w:tcPr>
          <w:p w14:paraId="55B760A4"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M.19 </w:t>
            </w:r>
          </w:p>
        </w:tc>
        <w:tc>
          <w:tcPr>
            <w:tcW w:w="1277" w:type="dxa"/>
            <w:tcBorders>
              <w:top w:val="single" w:sz="4" w:space="0" w:color="000000"/>
              <w:left w:val="single" w:sz="4" w:space="0" w:color="000000"/>
              <w:bottom w:val="single" w:sz="4" w:space="0" w:color="000000"/>
              <w:right w:val="single" w:sz="4" w:space="0" w:color="000000"/>
            </w:tcBorders>
          </w:tcPr>
          <w:p w14:paraId="77034A31" w14:textId="77777777" w:rsidR="004A3CD3" w:rsidRDefault="006C0598">
            <w:pPr>
              <w:spacing w:after="0" w:line="259" w:lineRule="auto"/>
              <w:ind w:left="0" w:right="98" w:firstLine="0"/>
              <w:jc w:val="center"/>
            </w:pPr>
            <w:r>
              <w:t xml:space="preserve">2014 </w:t>
            </w:r>
          </w:p>
        </w:tc>
        <w:tc>
          <w:tcPr>
            <w:tcW w:w="7230" w:type="dxa"/>
            <w:tcBorders>
              <w:top w:val="single" w:sz="4" w:space="0" w:color="000000"/>
              <w:left w:val="single" w:sz="4" w:space="0" w:color="000000"/>
              <w:bottom w:val="single" w:sz="4" w:space="0" w:color="000000"/>
              <w:right w:val="single" w:sz="4" w:space="0" w:color="000000"/>
            </w:tcBorders>
            <w:vAlign w:val="center"/>
          </w:tcPr>
          <w:p w14:paraId="5442391A" w14:textId="77777777" w:rsidR="004A3CD3" w:rsidRDefault="006C0598">
            <w:pPr>
              <w:spacing w:after="0" w:line="259" w:lineRule="auto"/>
              <w:ind w:left="0" w:right="0" w:firstLine="0"/>
              <w:jc w:val="left"/>
            </w:pPr>
            <w:r>
              <w:t xml:space="preserve">Cass. 4 September 2014, C.12.0535.F </w:t>
            </w:r>
          </w:p>
        </w:tc>
      </w:tr>
      <w:tr w:rsidR="00E933CB" w14:paraId="50C82F6D" w14:textId="77777777">
        <w:trPr>
          <w:trHeight w:val="518"/>
        </w:trPr>
        <w:tc>
          <w:tcPr>
            <w:tcW w:w="674" w:type="dxa"/>
            <w:tcBorders>
              <w:top w:val="single" w:sz="4" w:space="0" w:color="000000"/>
              <w:left w:val="single" w:sz="4" w:space="0" w:color="000000"/>
              <w:bottom w:val="single" w:sz="4" w:space="0" w:color="000000"/>
              <w:right w:val="single" w:sz="4" w:space="0" w:color="000000"/>
            </w:tcBorders>
            <w:vAlign w:val="center"/>
          </w:tcPr>
          <w:p w14:paraId="031BBDD9"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M.20 </w:t>
            </w:r>
          </w:p>
        </w:tc>
        <w:tc>
          <w:tcPr>
            <w:tcW w:w="1277" w:type="dxa"/>
            <w:tcBorders>
              <w:top w:val="single" w:sz="4" w:space="0" w:color="000000"/>
              <w:left w:val="single" w:sz="4" w:space="0" w:color="000000"/>
              <w:bottom w:val="single" w:sz="4" w:space="0" w:color="000000"/>
              <w:right w:val="single" w:sz="4" w:space="0" w:color="000000"/>
            </w:tcBorders>
          </w:tcPr>
          <w:p w14:paraId="5A4ECD13" w14:textId="77777777" w:rsidR="004A3CD3" w:rsidRDefault="006C0598">
            <w:pPr>
              <w:spacing w:after="0" w:line="259" w:lineRule="auto"/>
              <w:ind w:left="0" w:right="98" w:firstLine="0"/>
              <w:jc w:val="center"/>
            </w:pPr>
            <w:r>
              <w:t xml:space="preserve">2017 </w:t>
            </w:r>
          </w:p>
        </w:tc>
        <w:tc>
          <w:tcPr>
            <w:tcW w:w="7230" w:type="dxa"/>
            <w:tcBorders>
              <w:top w:val="single" w:sz="4" w:space="0" w:color="000000"/>
              <w:left w:val="single" w:sz="4" w:space="0" w:color="000000"/>
              <w:bottom w:val="single" w:sz="4" w:space="0" w:color="000000"/>
              <w:right w:val="single" w:sz="4" w:space="0" w:color="000000"/>
            </w:tcBorders>
            <w:vAlign w:val="center"/>
          </w:tcPr>
          <w:p w14:paraId="1C1E484B" w14:textId="77777777" w:rsidR="004A3CD3" w:rsidRDefault="006C0598">
            <w:pPr>
              <w:spacing w:after="0" w:line="259" w:lineRule="auto"/>
              <w:ind w:left="0" w:right="0" w:firstLine="0"/>
              <w:jc w:val="left"/>
            </w:pPr>
            <w:r>
              <w:t xml:space="preserve">Mons, 27 June 2017, J.L.M.B., 2018/9 </w:t>
            </w:r>
          </w:p>
        </w:tc>
      </w:tr>
      <w:tr w:rsidR="00E933CB" w14:paraId="39A1D58A" w14:textId="77777777">
        <w:trPr>
          <w:trHeight w:val="518"/>
        </w:trPr>
        <w:tc>
          <w:tcPr>
            <w:tcW w:w="674" w:type="dxa"/>
            <w:tcBorders>
              <w:top w:val="single" w:sz="4" w:space="0" w:color="000000"/>
              <w:left w:val="single" w:sz="4" w:space="0" w:color="000000"/>
              <w:bottom w:val="single" w:sz="4" w:space="0" w:color="000000"/>
              <w:right w:val="single" w:sz="4" w:space="0" w:color="000000"/>
            </w:tcBorders>
            <w:vAlign w:val="center"/>
          </w:tcPr>
          <w:p w14:paraId="2AD03BB2"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M.21 </w:t>
            </w:r>
          </w:p>
        </w:tc>
        <w:tc>
          <w:tcPr>
            <w:tcW w:w="1277" w:type="dxa"/>
            <w:tcBorders>
              <w:top w:val="single" w:sz="4" w:space="0" w:color="000000"/>
              <w:left w:val="single" w:sz="4" w:space="0" w:color="000000"/>
              <w:bottom w:val="single" w:sz="4" w:space="0" w:color="000000"/>
              <w:right w:val="single" w:sz="4" w:space="0" w:color="000000"/>
            </w:tcBorders>
          </w:tcPr>
          <w:p w14:paraId="118EE000" w14:textId="77777777" w:rsidR="004A3CD3" w:rsidRDefault="006C0598">
            <w:pPr>
              <w:spacing w:after="0" w:line="259" w:lineRule="auto"/>
              <w:ind w:left="0" w:right="98" w:firstLine="0"/>
              <w:jc w:val="center"/>
            </w:pPr>
            <w:r>
              <w:t xml:space="preserve">2018 </w:t>
            </w:r>
          </w:p>
        </w:tc>
        <w:tc>
          <w:tcPr>
            <w:tcW w:w="7230" w:type="dxa"/>
            <w:tcBorders>
              <w:top w:val="single" w:sz="4" w:space="0" w:color="000000"/>
              <w:left w:val="single" w:sz="4" w:space="0" w:color="000000"/>
              <w:bottom w:val="single" w:sz="4" w:space="0" w:color="000000"/>
              <w:right w:val="single" w:sz="4" w:space="0" w:color="000000"/>
            </w:tcBorders>
            <w:vAlign w:val="center"/>
          </w:tcPr>
          <w:p w14:paraId="31342CA7" w14:textId="77777777" w:rsidR="004A3CD3" w:rsidRDefault="006C0598">
            <w:pPr>
              <w:spacing w:after="0" w:line="259" w:lineRule="auto"/>
              <w:ind w:left="0" w:right="0" w:firstLine="0"/>
              <w:jc w:val="left"/>
            </w:pPr>
            <w:r>
              <w:t xml:space="preserve">E.C., vzw bond beter leefmilieu Vlaanderen &amp; co, no 241.048 of 20 March 2018 </w:t>
            </w:r>
          </w:p>
        </w:tc>
      </w:tr>
      <w:tr w:rsidR="00E933CB" w14:paraId="66036583" w14:textId="77777777">
        <w:trPr>
          <w:trHeight w:val="519"/>
        </w:trPr>
        <w:tc>
          <w:tcPr>
            <w:tcW w:w="674" w:type="dxa"/>
            <w:tcBorders>
              <w:top w:val="single" w:sz="4" w:space="0" w:color="000000"/>
              <w:left w:val="single" w:sz="4" w:space="0" w:color="000000"/>
              <w:bottom w:val="single" w:sz="4" w:space="0" w:color="000000"/>
              <w:right w:val="single" w:sz="4" w:space="0" w:color="000000"/>
            </w:tcBorders>
            <w:vAlign w:val="center"/>
          </w:tcPr>
          <w:p w14:paraId="1089E4EE"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M.22 </w:t>
            </w:r>
          </w:p>
        </w:tc>
        <w:tc>
          <w:tcPr>
            <w:tcW w:w="1277" w:type="dxa"/>
            <w:tcBorders>
              <w:top w:val="single" w:sz="4" w:space="0" w:color="000000"/>
              <w:left w:val="single" w:sz="4" w:space="0" w:color="000000"/>
              <w:bottom w:val="single" w:sz="4" w:space="0" w:color="000000"/>
              <w:right w:val="single" w:sz="4" w:space="0" w:color="000000"/>
            </w:tcBorders>
          </w:tcPr>
          <w:p w14:paraId="1520311E" w14:textId="77777777" w:rsidR="004A3CD3" w:rsidRDefault="006C0598">
            <w:pPr>
              <w:spacing w:after="0" w:line="259" w:lineRule="auto"/>
              <w:ind w:left="0" w:right="98" w:firstLine="0"/>
              <w:jc w:val="center"/>
            </w:pPr>
            <w:r>
              <w:t xml:space="preserve">2018 </w:t>
            </w:r>
          </w:p>
        </w:tc>
        <w:tc>
          <w:tcPr>
            <w:tcW w:w="7230" w:type="dxa"/>
            <w:tcBorders>
              <w:top w:val="single" w:sz="4" w:space="0" w:color="000000"/>
              <w:left w:val="single" w:sz="4" w:space="0" w:color="000000"/>
              <w:bottom w:val="single" w:sz="4" w:space="0" w:color="000000"/>
              <w:right w:val="single" w:sz="4" w:space="0" w:color="000000"/>
            </w:tcBorders>
            <w:vAlign w:val="center"/>
          </w:tcPr>
          <w:p w14:paraId="0F08F749" w14:textId="77777777" w:rsidR="004A3CD3" w:rsidRDefault="006C0598">
            <w:pPr>
              <w:spacing w:after="0" w:line="259" w:lineRule="auto"/>
              <w:ind w:left="0" w:right="0" w:firstLine="0"/>
              <w:jc w:val="left"/>
            </w:pPr>
            <w:r>
              <w:t xml:space="preserve">C.E., asbl Greenpeace Belgium, n° 242.874 of 8 November 2018 </w:t>
            </w:r>
          </w:p>
        </w:tc>
      </w:tr>
      <w:tr w:rsidR="00E933CB" w14:paraId="4C56A6FC" w14:textId="77777777">
        <w:trPr>
          <w:trHeight w:val="518"/>
        </w:trPr>
        <w:tc>
          <w:tcPr>
            <w:tcW w:w="674" w:type="dxa"/>
            <w:tcBorders>
              <w:top w:val="single" w:sz="4" w:space="0" w:color="000000"/>
              <w:left w:val="single" w:sz="4" w:space="0" w:color="000000"/>
              <w:bottom w:val="single" w:sz="4" w:space="0" w:color="000000"/>
              <w:right w:val="single" w:sz="4" w:space="0" w:color="000000"/>
            </w:tcBorders>
            <w:vAlign w:val="center"/>
          </w:tcPr>
          <w:p w14:paraId="2B5A430F" w14:textId="77777777" w:rsidR="004A3CD3" w:rsidRDefault="006C0598">
            <w:pPr>
              <w:spacing w:after="0" w:line="259" w:lineRule="auto"/>
              <w:ind w:left="0" w:right="0" w:firstLine="0"/>
              <w:jc w:val="left"/>
            </w:pPr>
            <w:r>
              <w:rPr>
                <w:rFonts w:ascii="Century Gothic" w:eastAsia="Century Gothic" w:hAnsi="Century Gothic" w:cs="Century Gothic"/>
                <w:b/>
                <w:sz w:val="20"/>
              </w:rPr>
              <w:lastRenderedPageBreak/>
              <w:t xml:space="preserve">M.23 </w:t>
            </w:r>
          </w:p>
        </w:tc>
        <w:tc>
          <w:tcPr>
            <w:tcW w:w="1277" w:type="dxa"/>
            <w:tcBorders>
              <w:top w:val="single" w:sz="4" w:space="0" w:color="000000"/>
              <w:left w:val="single" w:sz="4" w:space="0" w:color="000000"/>
              <w:bottom w:val="single" w:sz="4" w:space="0" w:color="000000"/>
              <w:right w:val="single" w:sz="4" w:space="0" w:color="000000"/>
            </w:tcBorders>
          </w:tcPr>
          <w:p w14:paraId="40CB6294" w14:textId="77777777" w:rsidR="004A3CD3" w:rsidRDefault="006C0598">
            <w:pPr>
              <w:spacing w:after="0" w:line="259" w:lineRule="auto"/>
              <w:ind w:left="0" w:right="98" w:firstLine="0"/>
              <w:jc w:val="center"/>
            </w:pPr>
            <w:r>
              <w:t xml:space="preserve">2018 </w:t>
            </w:r>
          </w:p>
        </w:tc>
        <w:tc>
          <w:tcPr>
            <w:tcW w:w="7230" w:type="dxa"/>
            <w:tcBorders>
              <w:top w:val="single" w:sz="4" w:space="0" w:color="000000"/>
              <w:left w:val="single" w:sz="4" w:space="0" w:color="000000"/>
              <w:bottom w:val="single" w:sz="4" w:space="0" w:color="000000"/>
              <w:right w:val="single" w:sz="4" w:space="0" w:color="000000"/>
            </w:tcBorders>
            <w:vAlign w:val="center"/>
          </w:tcPr>
          <w:p w14:paraId="55919038" w14:textId="77777777" w:rsidR="004A3CD3" w:rsidRDefault="006C0598">
            <w:pPr>
              <w:spacing w:after="0" w:line="259" w:lineRule="auto"/>
              <w:ind w:left="0" w:right="0" w:firstLine="0"/>
              <w:jc w:val="left"/>
            </w:pPr>
            <w:r>
              <w:t xml:space="preserve">Ghent Court of Appeal, 22 March 2018, </w:t>
            </w:r>
            <w:r>
              <w:rPr>
                <w:i/>
              </w:rPr>
              <w:t>T.M.R.</w:t>
            </w:r>
            <w:r>
              <w:t xml:space="preserve">, 2019/2 </w:t>
            </w:r>
          </w:p>
        </w:tc>
      </w:tr>
      <w:tr w:rsidR="00E933CB" w14:paraId="1D89C335" w14:textId="77777777">
        <w:trPr>
          <w:trHeight w:val="518"/>
        </w:trPr>
        <w:tc>
          <w:tcPr>
            <w:tcW w:w="674" w:type="dxa"/>
            <w:tcBorders>
              <w:top w:val="single" w:sz="4" w:space="0" w:color="000000"/>
              <w:left w:val="single" w:sz="4" w:space="0" w:color="000000"/>
              <w:bottom w:val="single" w:sz="4" w:space="0" w:color="000000"/>
              <w:right w:val="single" w:sz="4" w:space="0" w:color="000000"/>
            </w:tcBorders>
            <w:vAlign w:val="center"/>
          </w:tcPr>
          <w:p w14:paraId="3350E7F1"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M.24 </w:t>
            </w:r>
          </w:p>
        </w:tc>
        <w:tc>
          <w:tcPr>
            <w:tcW w:w="1277" w:type="dxa"/>
            <w:tcBorders>
              <w:top w:val="single" w:sz="4" w:space="0" w:color="000000"/>
              <w:left w:val="single" w:sz="4" w:space="0" w:color="000000"/>
              <w:bottom w:val="single" w:sz="4" w:space="0" w:color="000000"/>
              <w:right w:val="single" w:sz="4" w:space="0" w:color="000000"/>
            </w:tcBorders>
          </w:tcPr>
          <w:p w14:paraId="41DECC96" w14:textId="77777777" w:rsidR="004A3CD3" w:rsidRDefault="006C0598">
            <w:pPr>
              <w:spacing w:after="0" w:line="259" w:lineRule="auto"/>
              <w:ind w:left="0" w:right="98"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1B5B6DA3" w14:textId="77777777" w:rsidR="004A3CD3" w:rsidRDefault="006C0598">
            <w:pPr>
              <w:spacing w:after="0" w:line="259" w:lineRule="auto"/>
              <w:ind w:left="0" w:right="0" w:firstLine="0"/>
              <w:jc w:val="left"/>
            </w:pPr>
            <w:r>
              <w:t xml:space="preserve">Civ. Brussels (4th ch.), 9 January 2019, J.L.M.B., 2019/9 </w:t>
            </w:r>
          </w:p>
        </w:tc>
      </w:tr>
      <w:tr w:rsidR="00E933CB" w14:paraId="17E5F711" w14:textId="77777777">
        <w:trPr>
          <w:trHeight w:val="521"/>
        </w:trPr>
        <w:tc>
          <w:tcPr>
            <w:tcW w:w="674" w:type="dxa"/>
            <w:tcBorders>
              <w:top w:val="single" w:sz="4" w:space="0" w:color="000000"/>
              <w:left w:val="single" w:sz="4" w:space="0" w:color="000000"/>
              <w:bottom w:val="single" w:sz="4" w:space="0" w:color="000000"/>
              <w:right w:val="single" w:sz="4" w:space="0" w:color="000000"/>
            </w:tcBorders>
            <w:vAlign w:val="center"/>
          </w:tcPr>
          <w:p w14:paraId="49129C8C"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M.25 </w:t>
            </w:r>
          </w:p>
        </w:tc>
        <w:tc>
          <w:tcPr>
            <w:tcW w:w="1277" w:type="dxa"/>
            <w:tcBorders>
              <w:top w:val="single" w:sz="4" w:space="0" w:color="000000"/>
              <w:left w:val="single" w:sz="4" w:space="0" w:color="000000"/>
              <w:bottom w:val="single" w:sz="4" w:space="0" w:color="000000"/>
              <w:right w:val="single" w:sz="4" w:space="0" w:color="000000"/>
            </w:tcBorders>
          </w:tcPr>
          <w:p w14:paraId="6A0C8DF5" w14:textId="77777777" w:rsidR="004A3CD3" w:rsidRDefault="006C0598">
            <w:pPr>
              <w:spacing w:after="0" w:line="259" w:lineRule="auto"/>
              <w:ind w:left="0" w:right="98"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7EAEEDCE" w14:textId="77777777" w:rsidR="004A3CD3" w:rsidRDefault="006C0598">
            <w:pPr>
              <w:spacing w:after="0" w:line="259" w:lineRule="auto"/>
              <w:ind w:left="0" w:right="0" w:firstLine="0"/>
              <w:jc w:val="left"/>
            </w:pPr>
            <w:r>
              <w:t xml:space="preserve">C. Const, 28 February 2019, n°37/2019 </w:t>
            </w:r>
          </w:p>
        </w:tc>
      </w:tr>
    </w:tbl>
    <w:p w14:paraId="6C440B22" w14:textId="77777777" w:rsidR="00E933CB" w:rsidRDefault="00825B93">
      <w:pPr>
        <w:spacing w:after="98" w:line="259" w:lineRule="auto"/>
        <w:ind w:left="464" w:right="0" w:firstLine="0"/>
        <w:jc w:val="left"/>
      </w:pPr>
      <w:r>
        <w:t xml:space="preserve"> </w:t>
      </w:r>
    </w:p>
    <w:p w14:paraId="096C0DE4" w14:textId="77777777" w:rsidR="00E933CB" w:rsidRDefault="00825B93">
      <w:pPr>
        <w:spacing w:after="95" w:line="259" w:lineRule="auto"/>
        <w:ind w:left="464" w:right="0" w:firstLine="0"/>
        <w:jc w:val="left"/>
      </w:pPr>
      <w:r>
        <w:t xml:space="preserve"> </w:t>
      </w:r>
    </w:p>
    <w:p w14:paraId="115DA518" w14:textId="77777777" w:rsidR="00E933CB" w:rsidRDefault="00825B93">
      <w:pPr>
        <w:spacing w:after="0" w:line="259" w:lineRule="auto"/>
        <w:ind w:left="0" w:right="9117" w:firstLine="0"/>
        <w:jc w:val="right"/>
      </w:pPr>
      <w:r>
        <w:t xml:space="preserve"> </w:t>
      </w:r>
    </w:p>
    <w:tbl>
      <w:tblPr>
        <w:tblStyle w:val="TableGrid"/>
        <w:tblW w:w="9182" w:type="dxa"/>
        <w:tblInd w:w="468" w:type="dxa"/>
        <w:tblCellMar>
          <w:top w:w="48" w:type="dxa"/>
          <w:left w:w="2" w:type="dxa"/>
          <w:right w:w="92" w:type="dxa"/>
        </w:tblCellMar>
        <w:tblLook w:val="04A0" w:firstRow="1" w:lastRow="0" w:firstColumn="1" w:lastColumn="0" w:noHBand="0" w:noVBand="1"/>
      </w:tblPr>
      <w:tblGrid>
        <w:gridCol w:w="674"/>
        <w:gridCol w:w="1277"/>
        <w:gridCol w:w="7231"/>
      </w:tblGrid>
      <w:tr w:rsidR="00E933CB" w14:paraId="0759C570" w14:textId="77777777">
        <w:trPr>
          <w:trHeight w:val="713"/>
        </w:trPr>
        <w:tc>
          <w:tcPr>
            <w:tcW w:w="674" w:type="dxa"/>
            <w:tcBorders>
              <w:top w:val="single" w:sz="4" w:space="0" w:color="000000"/>
              <w:left w:val="single" w:sz="4" w:space="0" w:color="000000"/>
              <w:bottom w:val="single" w:sz="4" w:space="0" w:color="000000"/>
              <w:right w:val="nil"/>
            </w:tcBorders>
          </w:tcPr>
          <w:p w14:paraId="50934536" w14:textId="77777777" w:rsidR="00E933CB" w:rsidRDefault="00E933CB">
            <w:pPr>
              <w:spacing w:after="160" w:line="259" w:lineRule="auto"/>
              <w:ind w:left="0" w:right="0" w:firstLine="0"/>
              <w:jc w:val="left"/>
            </w:pPr>
          </w:p>
        </w:tc>
        <w:tc>
          <w:tcPr>
            <w:tcW w:w="8507" w:type="dxa"/>
            <w:gridSpan w:val="2"/>
            <w:tcBorders>
              <w:top w:val="single" w:sz="4" w:space="0" w:color="000000"/>
              <w:left w:val="nil"/>
              <w:bottom w:val="single" w:sz="4" w:space="0" w:color="000000"/>
              <w:right w:val="single" w:sz="4" w:space="0" w:color="000000"/>
            </w:tcBorders>
            <w:vAlign w:val="center"/>
          </w:tcPr>
          <w:p w14:paraId="3CD30B00" w14:textId="77777777" w:rsidR="004A3CD3" w:rsidRDefault="006C0598">
            <w:pPr>
              <w:spacing w:after="0" w:line="259" w:lineRule="auto"/>
              <w:ind w:left="1440" w:right="0" w:firstLine="0"/>
              <w:jc w:val="left"/>
            </w:pPr>
            <w:r>
              <w:rPr>
                <w:b/>
                <w:sz w:val="40"/>
              </w:rPr>
              <w:t xml:space="preserve">N.  </w:t>
            </w:r>
            <w:r>
              <w:rPr>
                <w:b/>
                <w:sz w:val="40"/>
                <w:u w:val="single" w:color="000000"/>
              </w:rPr>
              <w:t xml:space="preserve">European case law </w:t>
            </w:r>
          </w:p>
        </w:tc>
      </w:tr>
      <w:tr w:rsidR="00E933CB" w14:paraId="23564B49" w14:textId="77777777">
        <w:trPr>
          <w:trHeight w:val="710"/>
        </w:trPr>
        <w:tc>
          <w:tcPr>
            <w:tcW w:w="674" w:type="dxa"/>
            <w:tcBorders>
              <w:top w:val="single" w:sz="4" w:space="0" w:color="000000"/>
              <w:left w:val="single" w:sz="4" w:space="0" w:color="000000"/>
              <w:bottom w:val="single" w:sz="4" w:space="0" w:color="000000"/>
              <w:right w:val="nil"/>
            </w:tcBorders>
          </w:tcPr>
          <w:p w14:paraId="19F80346" w14:textId="77777777" w:rsidR="00E933CB" w:rsidRDefault="00E933CB">
            <w:pPr>
              <w:spacing w:after="160" w:line="259" w:lineRule="auto"/>
              <w:ind w:left="0" w:right="0" w:firstLine="0"/>
              <w:jc w:val="left"/>
            </w:pPr>
          </w:p>
        </w:tc>
        <w:tc>
          <w:tcPr>
            <w:tcW w:w="8507" w:type="dxa"/>
            <w:gridSpan w:val="2"/>
            <w:tcBorders>
              <w:top w:val="single" w:sz="4" w:space="0" w:color="000000"/>
              <w:left w:val="nil"/>
              <w:bottom w:val="single" w:sz="4" w:space="0" w:color="000000"/>
              <w:right w:val="single" w:sz="4" w:space="0" w:color="000000"/>
            </w:tcBorders>
            <w:vAlign w:val="center"/>
          </w:tcPr>
          <w:p w14:paraId="5AA26700" w14:textId="77777777" w:rsidR="004A3CD3" w:rsidRDefault="006C0598">
            <w:pPr>
              <w:spacing w:after="0" w:line="259" w:lineRule="auto"/>
              <w:ind w:left="0" w:right="0" w:firstLine="0"/>
              <w:jc w:val="left"/>
            </w:pPr>
            <w:r>
              <w:rPr>
                <w:b/>
                <w:sz w:val="32"/>
                <w:u w:val="single" w:color="000000"/>
              </w:rPr>
              <w:t xml:space="preserve">Case law of the Court of Justice of the European Union </w:t>
            </w:r>
          </w:p>
        </w:tc>
      </w:tr>
      <w:tr w:rsidR="00E933CB" w14:paraId="17DD5CF6"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4092F2A8" w14:textId="77777777" w:rsidR="00E933CB" w:rsidRDefault="00825B93">
            <w:pPr>
              <w:spacing w:after="0" w:line="259" w:lineRule="auto"/>
              <w:ind w:left="74"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073E747" w14:textId="77777777" w:rsidR="004A3CD3" w:rsidRDefault="006C0598">
            <w:pPr>
              <w:spacing w:after="0" w:line="259" w:lineRule="auto"/>
              <w:ind w:left="106" w:right="0" w:firstLine="0"/>
              <w:jc w:val="left"/>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tcPr>
          <w:p w14:paraId="597C7D3C" w14:textId="77777777" w:rsidR="004A3CD3" w:rsidRDefault="006C0598">
            <w:pPr>
              <w:spacing w:after="0" w:line="259" w:lineRule="auto"/>
              <w:ind w:left="106" w:right="0" w:firstLine="0"/>
              <w:jc w:val="left"/>
            </w:pPr>
            <w:r>
              <w:rPr>
                <w:b/>
              </w:rPr>
              <w:t xml:space="preserve">Description </w:t>
            </w:r>
          </w:p>
        </w:tc>
      </w:tr>
      <w:tr w:rsidR="00E933CB" w14:paraId="1855AA41"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22440E01" w14:textId="77777777" w:rsidR="004A3CD3" w:rsidRDefault="006C0598">
            <w:pPr>
              <w:spacing w:after="0" w:line="259" w:lineRule="auto"/>
              <w:ind w:left="144" w:right="0" w:firstLine="0"/>
              <w:jc w:val="left"/>
            </w:pPr>
            <w:r>
              <w:rPr>
                <w:rFonts w:ascii="Century Gothic" w:eastAsia="Century Gothic" w:hAnsi="Century Gothic" w:cs="Century Gothic"/>
                <w:b/>
                <w:sz w:val="20"/>
              </w:rPr>
              <w:t xml:space="preserve">N.1 </w:t>
            </w:r>
          </w:p>
        </w:tc>
        <w:tc>
          <w:tcPr>
            <w:tcW w:w="1277" w:type="dxa"/>
            <w:tcBorders>
              <w:top w:val="single" w:sz="4" w:space="0" w:color="000000"/>
              <w:left w:val="single" w:sz="4" w:space="0" w:color="000000"/>
              <w:bottom w:val="single" w:sz="4" w:space="0" w:color="000000"/>
              <w:right w:val="single" w:sz="4" w:space="0" w:color="000000"/>
            </w:tcBorders>
          </w:tcPr>
          <w:p w14:paraId="27D9FE87" w14:textId="77777777" w:rsidR="004A3CD3" w:rsidRDefault="006C0598">
            <w:pPr>
              <w:spacing w:after="0" w:line="259" w:lineRule="auto"/>
              <w:ind w:left="0" w:right="49"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vAlign w:val="center"/>
          </w:tcPr>
          <w:p w14:paraId="7106436D" w14:textId="77777777" w:rsidR="004A3CD3" w:rsidRDefault="006C0598">
            <w:pPr>
              <w:spacing w:after="0" w:line="259" w:lineRule="auto"/>
              <w:ind w:left="106" w:right="0" w:firstLine="0"/>
              <w:jc w:val="left"/>
            </w:pPr>
            <w:r>
              <w:t xml:space="preserve">CJEU, </w:t>
            </w:r>
            <w:r>
              <w:rPr>
                <w:i/>
              </w:rPr>
              <w:t xml:space="preserve">Horvath </w:t>
            </w:r>
            <w:r>
              <w:t xml:space="preserve">judgment (Grand Chamber), C-428/07, 16 July 2009,  </w:t>
            </w:r>
          </w:p>
        </w:tc>
      </w:tr>
    </w:tbl>
    <w:p w14:paraId="29714A9E" w14:textId="77777777" w:rsidR="00E933CB" w:rsidRDefault="00E933CB">
      <w:pPr>
        <w:spacing w:after="0" w:line="259" w:lineRule="auto"/>
        <w:ind w:left="-1097" w:right="547" w:firstLine="0"/>
        <w:jc w:val="left"/>
      </w:pPr>
    </w:p>
    <w:tbl>
      <w:tblPr>
        <w:tblStyle w:val="TableGrid"/>
        <w:tblW w:w="9182" w:type="dxa"/>
        <w:tblInd w:w="468" w:type="dxa"/>
        <w:tblCellMar>
          <w:top w:w="48" w:type="dxa"/>
          <w:left w:w="108" w:type="dxa"/>
          <w:right w:w="58" w:type="dxa"/>
        </w:tblCellMar>
        <w:tblLook w:val="04A0" w:firstRow="1" w:lastRow="0" w:firstColumn="1" w:lastColumn="0" w:noHBand="0" w:noVBand="1"/>
      </w:tblPr>
      <w:tblGrid>
        <w:gridCol w:w="674"/>
        <w:gridCol w:w="1277"/>
        <w:gridCol w:w="7231"/>
      </w:tblGrid>
      <w:tr w:rsidR="00E933CB" w14:paraId="38F84F36" w14:textId="77777777">
        <w:trPr>
          <w:trHeight w:val="519"/>
        </w:trPr>
        <w:tc>
          <w:tcPr>
            <w:tcW w:w="674" w:type="dxa"/>
            <w:tcBorders>
              <w:top w:val="single" w:sz="4" w:space="0" w:color="000000"/>
              <w:left w:val="single" w:sz="4" w:space="0" w:color="000000"/>
              <w:bottom w:val="single" w:sz="4" w:space="0" w:color="000000"/>
              <w:right w:val="single" w:sz="4" w:space="0" w:color="000000"/>
            </w:tcBorders>
          </w:tcPr>
          <w:p w14:paraId="7A48626A" w14:textId="77777777" w:rsidR="004A3CD3" w:rsidRDefault="006C0598">
            <w:pPr>
              <w:spacing w:after="0" w:line="259" w:lineRule="auto"/>
              <w:ind w:left="38" w:right="0" w:firstLine="0"/>
              <w:jc w:val="left"/>
            </w:pPr>
            <w:r>
              <w:rPr>
                <w:rFonts w:ascii="Century Gothic" w:eastAsia="Century Gothic" w:hAnsi="Century Gothic" w:cs="Century Gothic"/>
                <w:b/>
                <w:sz w:val="20"/>
              </w:rPr>
              <w:t xml:space="preserve">N.2 </w:t>
            </w:r>
          </w:p>
        </w:tc>
        <w:tc>
          <w:tcPr>
            <w:tcW w:w="1277" w:type="dxa"/>
            <w:tcBorders>
              <w:top w:val="single" w:sz="4" w:space="0" w:color="000000"/>
              <w:left w:val="single" w:sz="4" w:space="0" w:color="000000"/>
              <w:bottom w:val="single" w:sz="4" w:space="0" w:color="000000"/>
              <w:right w:val="single" w:sz="4" w:space="0" w:color="000000"/>
            </w:tcBorders>
          </w:tcPr>
          <w:p w14:paraId="45F4869A"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50DC92CB" w14:textId="77777777" w:rsidR="004A3CD3" w:rsidRDefault="006C0598">
            <w:pPr>
              <w:spacing w:after="0" w:line="259" w:lineRule="auto"/>
              <w:ind w:left="0" w:right="0" w:firstLine="0"/>
              <w:jc w:val="left"/>
            </w:pPr>
            <w:r>
              <w:t xml:space="preserve">CJEU, Judgment C-636/18 (Commission v. France), 24 October 2019 </w:t>
            </w:r>
          </w:p>
        </w:tc>
      </w:tr>
      <w:tr w:rsidR="00E933CB" w14:paraId="0B16B633" w14:textId="77777777">
        <w:trPr>
          <w:trHeight w:val="641"/>
        </w:trPr>
        <w:tc>
          <w:tcPr>
            <w:tcW w:w="9182" w:type="dxa"/>
            <w:gridSpan w:val="3"/>
            <w:tcBorders>
              <w:top w:val="single" w:sz="4" w:space="0" w:color="000000"/>
              <w:left w:val="single" w:sz="4" w:space="0" w:color="000000"/>
              <w:bottom w:val="single" w:sz="4" w:space="0" w:color="000000"/>
              <w:right w:val="single" w:sz="4" w:space="0" w:color="000000"/>
            </w:tcBorders>
            <w:vAlign w:val="center"/>
          </w:tcPr>
          <w:p w14:paraId="29039FD0" w14:textId="77777777" w:rsidR="004A3CD3" w:rsidRDefault="006C0598">
            <w:pPr>
              <w:spacing w:after="0" w:line="259" w:lineRule="auto"/>
              <w:ind w:left="0" w:right="58" w:firstLine="0"/>
              <w:jc w:val="center"/>
            </w:pPr>
            <w:r>
              <w:rPr>
                <w:b/>
                <w:sz w:val="32"/>
                <w:u w:val="single" w:color="000000"/>
              </w:rPr>
              <w:t xml:space="preserve">Case law of the European Court of Human Rights </w:t>
            </w:r>
          </w:p>
        </w:tc>
      </w:tr>
      <w:tr w:rsidR="00E933CB" w14:paraId="7642F895"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01586885" w14:textId="77777777" w:rsidR="004A3CD3" w:rsidRDefault="006C0598">
            <w:pPr>
              <w:spacing w:after="0" w:line="259" w:lineRule="auto"/>
              <w:ind w:left="38" w:right="0" w:firstLine="0"/>
              <w:jc w:val="left"/>
            </w:pPr>
            <w:r>
              <w:rPr>
                <w:rFonts w:ascii="Century Gothic" w:eastAsia="Century Gothic" w:hAnsi="Century Gothic" w:cs="Century Gothic"/>
                <w:b/>
                <w:sz w:val="20"/>
              </w:rPr>
              <w:t xml:space="preserve">N.3 </w:t>
            </w:r>
          </w:p>
        </w:tc>
        <w:tc>
          <w:tcPr>
            <w:tcW w:w="1277" w:type="dxa"/>
            <w:tcBorders>
              <w:top w:val="single" w:sz="4" w:space="0" w:color="000000"/>
              <w:left w:val="single" w:sz="4" w:space="0" w:color="000000"/>
              <w:bottom w:val="single" w:sz="4" w:space="0" w:color="000000"/>
              <w:right w:val="single" w:sz="4" w:space="0" w:color="000000"/>
            </w:tcBorders>
          </w:tcPr>
          <w:p w14:paraId="37AE6D51" w14:textId="77777777" w:rsidR="004A3CD3" w:rsidRDefault="006C0598">
            <w:pPr>
              <w:spacing w:after="0" w:line="259" w:lineRule="auto"/>
              <w:ind w:left="0" w:right="82" w:firstLine="0"/>
              <w:jc w:val="right"/>
            </w:pPr>
            <w:r>
              <w:t xml:space="preserve">1994 </w:t>
            </w:r>
          </w:p>
        </w:tc>
        <w:tc>
          <w:tcPr>
            <w:tcW w:w="7230" w:type="dxa"/>
            <w:tcBorders>
              <w:top w:val="single" w:sz="4" w:space="0" w:color="000000"/>
              <w:left w:val="single" w:sz="4" w:space="0" w:color="000000"/>
              <w:bottom w:val="single" w:sz="4" w:space="0" w:color="000000"/>
              <w:right w:val="single" w:sz="4" w:space="0" w:color="000000"/>
            </w:tcBorders>
            <w:vAlign w:val="center"/>
          </w:tcPr>
          <w:p w14:paraId="39A47C57" w14:textId="77777777" w:rsidR="004A3CD3" w:rsidRDefault="006C0598">
            <w:pPr>
              <w:spacing w:after="0" w:line="259" w:lineRule="auto"/>
              <w:ind w:left="0" w:right="0" w:firstLine="0"/>
              <w:jc w:val="left"/>
            </w:pPr>
            <w:r>
              <w:t xml:space="preserve">Eur. D.H., </w:t>
            </w:r>
            <w:r>
              <w:rPr>
                <w:i/>
              </w:rPr>
              <w:t xml:space="preserve">Lopez Ostra v. Spain </w:t>
            </w:r>
            <w:r>
              <w:t xml:space="preserve">judgment, 9 December 1994 </w:t>
            </w:r>
          </w:p>
        </w:tc>
      </w:tr>
      <w:tr w:rsidR="00E933CB" w14:paraId="1B3762C8"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02476A50" w14:textId="77777777" w:rsidR="004A3CD3" w:rsidRDefault="006C0598">
            <w:pPr>
              <w:spacing w:after="0" w:line="259" w:lineRule="auto"/>
              <w:ind w:left="38" w:right="0" w:firstLine="0"/>
              <w:jc w:val="left"/>
            </w:pPr>
            <w:r>
              <w:rPr>
                <w:rFonts w:ascii="Century Gothic" w:eastAsia="Century Gothic" w:hAnsi="Century Gothic" w:cs="Century Gothic"/>
                <w:b/>
                <w:sz w:val="20"/>
              </w:rPr>
              <w:t xml:space="preserve">N.4 </w:t>
            </w:r>
          </w:p>
        </w:tc>
        <w:tc>
          <w:tcPr>
            <w:tcW w:w="1277" w:type="dxa"/>
            <w:tcBorders>
              <w:top w:val="single" w:sz="4" w:space="0" w:color="000000"/>
              <w:left w:val="single" w:sz="4" w:space="0" w:color="000000"/>
              <w:bottom w:val="single" w:sz="4" w:space="0" w:color="000000"/>
              <w:right w:val="single" w:sz="4" w:space="0" w:color="000000"/>
            </w:tcBorders>
          </w:tcPr>
          <w:p w14:paraId="08C62E0C" w14:textId="77777777" w:rsidR="004A3CD3" w:rsidRDefault="006C0598">
            <w:pPr>
              <w:spacing w:after="0" w:line="259" w:lineRule="auto"/>
              <w:ind w:left="0" w:right="82" w:firstLine="0"/>
              <w:jc w:val="right"/>
            </w:pPr>
            <w:r>
              <w:t xml:space="preserve">1998 </w:t>
            </w:r>
          </w:p>
        </w:tc>
        <w:tc>
          <w:tcPr>
            <w:tcW w:w="7230" w:type="dxa"/>
            <w:tcBorders>
              <w:top w:val="single" w:sz="4" w:space="0" w:color="000000"/>
              <w:left w:val="single" w:sz="4" w:space="0" w:color="000000"/>
              <w:bottom w:val="single" w:sz="4" w:space="0" w:color="000000"/>
              <w:right w:val="single" w:sz="4" w:space="0" w:color="000000"/>
            </w:tcBorders>
            <w:vAlign w:val="center"/>
          </w:tcPr>
          <w:p w14:paraId="35E13191" w14:textId="77777777" w:rsidR="004A3CD3" w:rsidRDefault="006C0598">
            <w:pPr>
              <w:spacing w:after="0" w:line="259" w:lineRule="auto"/>
              <w:ind w:left="0" w:right="0" w:firstLine="0"/>
              <w:jc w:val="left"/>
            </w:pPr>
            <w:r>
              <w:t xml:space="preserve">Eur. D.H., judgment in </w:t>
            </w:r>
            <w:r>
              <w:rPr>
                <w:i/>
              </w:rPr>
              <w:t>L.C.B. v. United Kingdom</w:t>
            </w:r>
            <w:r>
              <w:t xml:space="preserve">, 9 June 1998 </w:t>
            </w:r>
          </w:p>
        </w:tc>
      </w:tr>
      <w:tr w:rsidR="00E933CB" w14:paraId="11E49BBE"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36D5586A" w14:textId="77777777" w:rsidR="004A3CD3" w:rsidRDefault="006C0598">
            <w:pPr>
              <w:spacing w:after="0" w:line="259" w:lineRule="auto"/>
              <w:ind w:left="38" w:right="0" w:firstLine="0"/>
              <w:jc w:val="left"/>
            </w:pPr>
            <w:r>
              <w:rPr>
                <w:rFonts w:ascii="Century Gothic" w:eastAsia="Century Gothic" w:hAnsi="Century Gothic" w:cs="Century Gothic"/>
                <w:b/>
                <w:sz w:val="20"/>
              </w:rPr>
              <w:t xml:space="preserve">N.5 </w:t>
            </w:r>
          </w:p>
        </w:tc>
        <w:tc>
          <w:tcPr>
            <w:tcW w:w="1277" w:type="dxa"/>
            <w:tcBorders>
              <w:top w:val="single" w:sz="4" w:space="0" w:color="000000"/>
              <w:left w:val="single" w:sz="4" w:space="0" w:color="000000"/>
              <w:bottom w:val="single" w:sz="4" w:space="0" w:color="000000"/>
              <w:right w:val="single" w:sz="4" w:space="0" w:color="000000"/>
            </w:tcBorders>
          </w:tcPr>
          <w:p w14:paraId="31ADB878" w14:textId="77777777" w:rsidR="004A3CD3" w:rsidRDefault="006C0598">
            <w:pPr>
              <w:spacing w:after="0" w:line="259" w:lineRule="auto"/>
              <w:ind w:left="0" w:right="82" w:firstLine="0"/>
              <w:jc w:val="right"/>
            </w:pPr>
            <w:r>
              <w:t xml:space="preserve">1998 </w:t>
            </w:r>
          </w:p>
        </w:tc>
        <w:tc>
          <w:tcPr>
            <w:tcW w:w="7230" w:type="dxa"/>
            <w:tcBorders>
              <w:top w:val="single" w:sz="4" w:space="0" w:color="000000"/>
              <w:left w:val="single" w:sz="4" w:space="0" w:color="000000"/>
              <w:bottom w:val="single" w:sz="4" w:space="0" w:color="000000"/>
              <w:right w:val="single" w:sz="4" w:space="0" w:color="000000"/>
            </w:tcBorders>
            <w:vAlign w:val="center"/>
          </w:tcPr>
          <w:p w14:paraId="708AA4E3" w14:textId="77777777" w:rsidR="004A3CD3" w:rsidRDefault="006C0598">
            <w:pPr>
              <w:spacing w:after="0" w:line="259" w:lineRule="auto"/>
              <w:ind w:left="0" w:right="0" w:firstLine="0"/>
              <w:jc w:val="left"/>
            </w:pPr>
            <w:r>
              <w:t xml:space="preserve">Eur. D.H., </w:t>
            </w:r>
            <w:r>
              <w:rPr>
                <w:i/>
              </w:rPr>
              <w:t>Osman v. the United Kingdom</w:t>
            </w:r>
            <w:r>
              <w:t xml:space="preserve">, 28 October 1998 </w:t>
            </w:r>
          </w:p>
        </w:tc>
      </w:tr>
      <w:tr w:rsidR="00E933CB" w14:paraId="38043D6F"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0A37847F" w14:textId="77777777" w:rsidR="004A3CD3" w:rsidRDefault="006C0598">
            <w:pPr>
              <w:spacing w:after="0" w:line="259" w:lineRule="auto"/>
              <w:ind w:left="38" w:right="0" w:firstLine="0"/>
              <w:jc w:val="left"/>
            </w:pPr>
            <w:r>
              <w:rPr>
                <w:rFonts w:ascii="Century Gothic" w:eastAsia="Century Gothic" w:hAnsi="Century Gothic" w:cs="Century Gothic"/>
                <w:b/>
                <w:sz w:val="20"/>
              </w:rPr>
              <w:t xml:space="preserve">N.6 </w:t>
            </w:r>
          </w:p>
        </w:tc>
        <w:tc>
          <w:tcPr>
            <w:tcW w:w="1277" w:type="dxa"/>
            <w:tcBorders>
              <w:top w:val="single" w:sz="4" w:space="0" w:color="000000"/>
              <w:left w:val="single" w:sz="4" w:space="0" w:color="000000"/>
              <w:bottom w:val="single" w:sz="4" w:space="0" w:color="000000"/>
              <w:right w:val="single" w:sz="4" w:space="0" w:color="000000"/>
            </w:tcBorders>
          </w:tcPr>
          <w:p w14:paraId="0EE29FA8" w14:textId="77777777" w:rsidR="004A3CD3" w:rsidRDefault="006C0598">
            <w:pPr>
              <w:spacing w:after="0" w:line="259" w:lineRule="auto"/>
              <w:ind w:left="0" w:right="82" w:firstLine="0"/>
              <w:jc w:val="right"/>
            </w:pPr>
            <w:r>
              <w:t xml:space="preserve">1998 </w:t>
            </w:r>
          </w:p>
        </w:tc>
        <w:tc>
          <w:tcPr>
            <w:tcW w:w="7230" w:type="dxa"/>
            <w:tcBorders>
              <w:top w:val="single" w:sz="4" w:space="0" w:color="000000"/>
              <w:left w:val="single" w:sz="4" w:space="0" w:color="000000"/>
              <w:bottom w:val="single" w:sz="4" w:space="0" w:color="000000"/>
              <w:right w:val="single" w:sz="4" w:space="0" w:color="000000"/>
            </w:tcBorders>
            <w:vAlign w:val="center"/>
          </w:tcPr>
          <w:p w14:paraId="2713A741" w14:textId="77777777" w:rsidR="004A3CD3" w:rsidRDefault="006C0598">
            <w:pPr>
              <w:spacing w:after="0" w:line="259" w:lineRule="auto"/>
              <w:ind w:left="0" w:right="0" w:firstLine="0"/>
              <w:jc w:val="left"/>
            </w:pPr>
            <w:r>
              <w:t xml:space="preserve">Eur. D.H., judgment in </w:t>
            </w:r>
            <w:r>
              <w:rPr>
                <w:i/>
              </w:rPr>
              <w:t>Guerra and Others v. Italy</w:t>
            </w:r>
            <w:r>
              <w:t xml:space="preserve">, 19 February 1998 </w:t>
            </w:r>
          </w:p>
        </w:tc>
      </w:tr>
      <w:tr w:rsidR="00E933CB" w14:paraId="3EF2DDC1" w14:textId="77777777">
        <w:trPr>
          <w:trHeight w:val="521"/>
        </w:trPr>
        <w:tc>
          <w:tcPr>
            <w:tcW w:w="674" w:type="dxa"/>
            <w:tcBorders>
              <w:top w:val="single" w:sz="4" w:space="0" w:color="000000"/>
              <w:left w:val="single" w:sz="4" w:space="0" w:color="000000"/>
              <w:bottom w:val="single" w:sz="4" w:space="0" w:color="000000"/>
              <w:right w:val="single" w:sz="4" w:space="0" w:color="000000"/>
            </w:tcBorders>
          </w:tcPr>
          <w:p w14:paraId="15B5967B" w14:textId="77777777" w:rsidR="004A3CD3" w:rsidRDefault="006C0598">
            <w:pPr>
              <w:spacing w:after="0" w:line="259" w:lineRule="auto"/>
              <w:ind w:left="38" w:right="0" w:firstLine="0"/>
              <w:jc w:val="left"/>
            </w:pPr>
            <w:r>
              <w:rPr>
                <w:rFonts w:ascii="Century Gothic" w:eastAsia="Century Gothic" w:hAnsi="Century Gothic" w:cs="Century Gothic"/>
                <w:b/>
                <w:sz w:val="20"/>
              </w:rPr>
              <w:t xml:space="preserve">N.7 </w:t>
            </w:r>
          </w:p>
        </w:tc>
        <w:tc>
          <w:tcPr>
            <w:tcW w:w="1277" w:type="dxa"/>
            <w:tcBorders>
              <w:top w:val="single" w:sz="4" w:space="0" w:color="000000"/>
              <w:left w:val="single" w:sz="4" w:space="0" w:color="000000"/>
              <w:bottom w:val="single" w:sz="4" w:space="0" w:color="000000"/>
              <w:right w:val="single" w:sz="4" w:space="0" w:color="000000"/>
            </w:tcBorders>
          </w:tcPr>
          <w:p w14:paraId="725AA746" w14:textId="77777777" w:rsidR="004A3CD3" w:rsidRDefault="006C0598">
            <w:pPr>
              <w:spacing w:after="0" w:line="259" w:lineRule="auto"/>
              <w:ind w:left="0" w:right="82" w:firstLine="0"/>
              <w:jc w:val="right"/>
            </w:pPr>
            <w:r>
              <w:t xml:space="preserve">2004 </w:t>
            </w:r>
          </w:p>
        </w:tc>
        <w:tc>
          <w:tcPr>
            <w:tcW w:w="7230" w:type="dxa"/>
            <w:tcBorders>
              <w:top w:val="single" w:sz="4" w:space="0" w:color="000000"/>
              <w:left w:val="single" w:sz="4" w:space="0" w:color="000000"/>
              <w:bottom w:val="single" w:sz="4" w:space="0" w:color="000000"/>
              <w:right w:val="single" w:sz="4" w:space="0" w:color="000000"/>
            </w:tcBorders>
            <w:vAlign w:val="center"/>
          </w:tcPr>
          <w:p w14:paraId="1AD02A48" w14:textId="77777777" w:rsidR="004A3CD3" w:rsidRDefault="006C0598">
            <w:pPr>
              <w:spacing w:after="0" w:line="259" w:lineRule="auto"/>
              <w:ind w:left="0" w:right="0" w:firstLine="0"/>
              <w:jc w:val="left"/>
            </w:pPr>
            <w:r>
              <w:t xml:space="preserve">Eur. D.H., </w:t>
            </w:r>
            <w:r>
              <w:rPr>
                <w:i/>
              </w:rPr>
              <w:t xml:space="preserve">Taskin and others v. Turkey </w:t>
            </w:r>
            <w:r>
              <w:t xml:space="preserve">judgment, 10 November 2004 </w:t>
            </w:r>
          </w:p>
        </w:tc>
      </w:tr>
      <w:tr w:rsidR="00E933CB" w14:paraId="0D6F224C" w14:textId="77777777">
        <w:trPr>
          <w:trHeight w:val="519"/>
        </w:trPr>
        <w:tc>
          <w:tcPr>
            <w:tcW w:w="674" w:type="dxa"/>
            <w:tcBorders>
              <w:top w:val="single" w:sz="4" w:space="0" w:color="000000"/>
              <w:left w:val="single" w:sz="4" w:space="0" w:color="000000"/>
              <w:bottom w:val="single" w:sz="4" w:space="0" w:color="000000"/>
              <w:right w:val="single" w:sz="4" w:space="0" w:color="000000"/>
            </w:tcBorders>
          </w:tcPr>
          <w:p w14:paraId="0632078A" w14:textId="77777777" w:rsidR="004A3CD3" w:rsidRDefault="006C0598">
            <w:pPr>
              <w:spacing w:after="0" w:line="259" w:lineRule="auto"/>
              <w:ind w:left="38" w:right="0" w:firstLine="0"/>
              <w:jc w:val="left"/>
            </w:pPr>
            <w:r>
              <w:rPr>
                <w:rFonts w:ascii="Century Gothic" w:eastAsia="Century Gothic" w:hAnsi="Century Gothic" w:cs="Century Gothic"/>
                <w:b/>
                <w:sz w:val="20"/>
              </w:rPr>
              <w:t xml:space="preserve">N.8 </w:t>
            </w:r>
          </w:p>
        </w:tc>
        <w:tc>
          <w:tcPr>
            <w:tcW w:w="1277" w:type="dxa"/>
            <w:tcBorders>
              <w:top w:val="single" w:sz="4" w:space="0" w:color="000000"/>
              <w:left w:val="single" w:sz="4" w:space="0" w:color="000000"/>
              <w:bottom w:val="single" w:sz="4" w:space="0" w:color="000000"/>
              <w:right w:val="single" w:sz="4" w:space="0" w:color="000000"/>
            </w:tcBorders>
          </w:tcPr>
          <w:p w14:paraId="4857E51E" w14:textId="77777777" w:rsidR="004A3CD3" w:rsidRDefault="006C0598">
            <w:pPr>
              <w:spacing w:after="0" w:line="259" w:lineRule="auto"/>
              <w:ind w:left="0" w:right="82" w:firstLine="0"/>
              <w:jc w:val="right"/>
            </w:pPr>
            <w:r>
              <w:t xml:space="preserve">2005 </w:t>
            </w:r>
          </w:p>
        </w:tc>
        <w:tc>
          <w:tcPr>
            <w:tcW w:w="7230" w:type="dxa"/>
            <w:tcBorders>
              <w:top w:val="single" w:sz="4" w:space="0" w:color="000000"/>
              <w:left w:val="single" w:sz="4" w:space="0" w:color="000000"/>
              <w:bottom w:val="single" w:sz="4" w:space="0" w:color="000000"/>
              <w:right w:val="single" w:sz="4" w:space="0" w:color="000000"/>
            </w:tcBorders>
            <w:vAlign w:val="center"/>
          </w:tcPr>
          <w:p w14:paraId="6EFD7B46" w14:textId="77777777" w:rsidR="004A3CD3" w:rsidRDefault="006C0598">
            <w:pPr>
              <w:spacing w:after="0" w:line="259" w:lineRule="auto"/>
              <w:ind w:left="0" w:right="0" w:firstLine="0"/>
              <w:jc w:val="left"/>
            </w:pPr>
            <w:r>
              <w:t xml:space="preserve">Eur. D.H., </w:t>
            </w:r>
            <w:r>
              <w:rPr>
                <w:i/>
              </w:rPr>
              <w:t xml:space="preserve">Okyay v. Turkey </w:t>
            </w:r>
            <w:r>
              <w:t xml:space="preserve">judgment, 12 July 2005 </w:t>
            </w:r>
          </w:p>
        </w:tc>
      </w:tr>
      <w:tr w:rsidR="00E933CB" w14:paraId="58E52450"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7B836671" w14:textId="77777777" w:rsidR="004A3CD3" w:rsidRDefault="006C0598">
            <w:pPr>
              <w:spacing w:after="0" w:line="259" w:lineRule="auto"/>
              <w:ind w:left="38" w:right="0" w:firstLine="0"/>
              <w:jc w:val="left"/>
            </w:pPr>
            <w:r>
              <w:rPr>
                <w:rFonts w:ascii="Century Gothic" w:eastAsia="Century Gothic" w:hAnsi="Century Gothic" w:cs="Century Gothic"/>
                <w:b/>
                <w:sz w:val="20"/>
              </w:rPr>
              <w:t xml:space="preserve">N.9 </w:t>
            </w:r>
          </w:p>
        </w:tc>
        <w:tc>
          <w:tcPr>
            <w:tcW w:w="1277" w:type="dxa"/>
            <w:tcBorders>
              <w:top w:val="single" w:sz="4" w:space="0" w:color="000000"/>
              <w:left w:val="single" w:sz="4" w:space="0" w:color="000000"/>
              <w:bottom w:val="single" w:sz="4" w:space="0" w:color="000000"/>
              <w:right w:val="single" w:sz="4" w:space="0" w:color="000000"/>
            </w:tcBorders>
          </w:tcPr>
          <w:p w14:paraId="7AFDFD06" w14:textId="77777777" w:rsidR="004A3CD3" w:rsidRDefault="006C0598">
            <w:pPr>
              <w:spacing w:after="0" w:line="259" w:lineRule="auto"/>
              <w:ind w:left="0" w:right="82" w:firstLine="0"/>
              <w:jc w:val="right"/>
            </w:pPr>
            <w:r>
              <w:t xml:space="preserve">2005 </w:t>
            </w:r>
          </w:p>
        </w:tc>
        <w:tc>
          <w:tcPr>
            <w:tcW w:w="7230" w:type="dxa"/>
            <w:tcBorders>
              <w:top w:val="single" w:sz="4" w:space="0" w:color="000000"/>
              <w:left w:val="single" w:sz="4" w:space="0" w:color="000000"/>
              <w:bottom w:val="single" w:sz="4" w:space="0" w:color="000000"/>
              <w:right w:val="single" w:sz="4" w:space="0" w:color="000000"/>
            </w:tcBorders>
            <w:vAlign w:val="center"/>
          </w:tcPr>
          <w:p w14:paraId="7CE0D8AB" w14:textId="77777777" w:rsidR="004A3CD3" w:rsidRDefault="006C0598">
            <w:pPr>
              <w:spacing w:after="0" w:line="259" w:lineRule="auto"/>
              <w:ind w:left="0" w:right="0" w:firstLine="0"/>
              <w:jc w:val="left"/>
            </w:pPr>
            <w:r>
              <w:t xml:space="preserve">Eur. D.H., </w:t>
            </w:r>
            <w:r>
              <w:rPr>
                <w:i/>
              </w:rPr>
              <w:t xml:space="preserve">Fadeyeva v. Russia </w:t>
            </w:r>
            <w:r>
              <w:t xml:space="preserve">judgment, 9 June 2005 </w:t>
            </w:r>
          </w:p>
        </w:tc>
      </w:tr>
      <w:tr w:rsidR="00E933CB" w14:paraId="03D97AC8"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69AEE534"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N.10 </w:t>
            </w:r>
          </w:p>
        </w:tc>
        <w:tc>
          <w:tcPr>
            <w:tcW w:w="1277" w:type="dxa"/>
            <w:tcBorders>
              <w:top w:val="single" w:sz="4" w:space="0" w:color="000000"/>
              <w:left w:val="single" w:sz="4" w:space="0" w:color="000000"/>
              <w:bottom w:val="single" w:sz="4" w:space="0" w:color="000000"/>
              <w:right w:val="single" w:sz="4" w:space="0" w:color="000000"/>
            </w:tcBorders>
          </w:tcPr>
          <w:p w14:paraId="759BFB6A" w14:textId="77777777" w:rsidR="004A3CD3" w:rsidRDefault="006C0598">
            <w:pPr>
              <w:spacing w:after="0" w:line="259" w:lineRule="auto"/>
              <w:ind w:left="0" w:right="82" w:firstLine="0"/>
              <w:jc w:val="right"/>
            </w:pPr>
            <w:r>
              <w:t xml:space="preserve">2006 </w:t>
            </w:r>
          </w:p>
        </w:tc>
        <w:tc>
          <w:tcPr>
            <w:tcW w:w="7230" w:type="dxa"/>
            <w:tcBorders>
              <w:top w:val="single" w:sz="4" w:space="0" w:color="000000"/>
              <w:left w:val="single" w:sz="4" w:space="0" w:color="000000"/>
              <w:bottom w:val="single" w:sz="4" w:space="0" w:color="000000"/>
              <w:right w:val="single" w:sz="4" w:space="0" w:color="000000"/>
            </w:tcBorders>
            <w:vAlign w:val="center"/>
          </w:tcPr>
          <w:p w14:paraId="7C09178D" w14:textId="77777777" w:rsidR="004A3CD3" w:rsidRDefault="006C0598">
            <w:pPr>
              <w:spacing w:after="0" w:line="259" w:lineRule="auto"/>
              <w:ind w:left="0" w:right="0" w:firstLine="0"/>
              <w:jc w:val="left"/>
            </w:pPr>
            <w:r>
              <w:t xml:space="preserve">Eur. D.H., </w:t>
            </w:r>
            <w:r>
              <w:rPr>
                <w:i/>
              </w:rPr>
              <w:t xml:space="preserve">Giacomelli v. Italy </w:t>
            </w:r>
            <w:r>
              <w:t xml:space="preserve">judgment, 2 November 2006 </w:t>
            </w:r>
          </w:p>
        </w:tc>
      </w:tr>
      <w:tr w:rsidR="00E933CB" w14:paraId="338C8CC6"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4947F630"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N.11 </w:t>
            </w:r>
          </w:p>
        </w:tc>
        <w:tc>
          <w:tcPr>
            <w:tcW w:w="1277" w:type="dxa"/>
            <w:tcBorders>
              <w:top w:val="single" w:sz="4" w:space="0" w:color="000000"/>
              <w:left w:val="single" w:sz="4" w:space="0" w:color="000000"/>
              <w:bottom w:val="single" w:sz="4" w:space="0" w:color="000000"/>
              <w:right w:val="single" w:sz="4" w:space="0" w:color="000000"/>
            </w:tcBorders>
          </w:tcPr>
          <w:p w14:paraId="68BC7DBB" w14:textId="77777777" w:rsidR="004A3CD3" w:rsidRDefault="006C0598">
            <w:pPr>
              <w:spacing w:after="0" w:line="259" w:lineRule="auto"/>
              <w:ind w:left="0" w:right="82" w:firstLine="0"/>
              <w:jc w:val="right"/>
            </w:pPr>
            <w:r>
              <w:t xml:space="preserve">2006 </w:t>
            </w:r>
          </w:p>
        </w:tc>
        <w:tc>
          <w:tcPr>
            <w:tcW w:w="7230" w:type="dxa"/>
            <w:tcBorders>
              <w:top w:val="single" w:sz="4" w:space="0" w:color="000000"/>
              <w:left w:val="single" w:sz="4" w:space="0" w:color="000000"/>
              <w:bottom w:val="single" w:sz="4" w:space="0" w:color="000000"/>
              <w:right w:val="single" w:sz="4" w:space="0" w:color="000000"/>
            </w:tcBorders>
            <w:vAlign w:val="center"/>
          </w:tcPr>
          <w:p w14:paraId="22305729" w14:textId="77777777" w:rsidR="004A3CD3" w:rsidRDefault="006C0598">
            <w:pPr>
              <w:spacing w:after="0" w:line="259" w:lineRule="auto"/>
              <w:ind w:left="0" w:right="0" w:firstLine="0"/>
              <w:jc w:val="left"/>
            </w:pPr>
            <w:r>
              <w:t xml:space="preserve">Eur. D.H., judgment in </w:t>
            </w:r>
            <w:r>
              <w:rPr>
                <w:i/>
              </w:rPr>
              <w:t>Murillo Saldias and Others v. Spain</w:t>
            </w:r>
            <w:r>
              <w:t xml:space="preserve">, 28 November 2006 </w:t>
            </w:r>
          </w:p>
        </w:tc>
      </w:tr>
      <w:tr w:rsidR="00E933CB" w14:paraId="02C6EA6D"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32014958"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N.12 </w:t>
            </w:r>
          </w:p>
        </w:tc>
        <w:tc>
          <w:tcPr>
            <w:tcW w:w="1277" w:type="dxa"/>
            <w:tcBorders>
              <w:top w:val="single" w:sz="4" w:space="0" w:color="000000"/>
              <w:left w:val="single" w:sz="4" w:space="0" w:color="000000"/>
              <w:bottom w:val="single" w:sz="4" w:space="0" w:color="000000"/>
              <w:right w:val="single" w:sz="4" w:space="0" w:color="000000"/>
            </w:tcBorders>
          </w:tcPr>
          <w:p w14:paraId="76677E65" w14:textId="77777777" w:rsidR="004A3CD3" w:rsidRDefault="006C0598">
            <w:pPr>
              <w:spacing w:after="0" w:line="259" w:lineRule="auto"/>
              <w:ind w:left="0" w:right="82" w:firstLine="0"/>
              <w:jc w:val="right"/>
            </w:pPr>
            <w:r>
              <w:t xml:space="preserve">2008 </w:t>
            </w:r>
          </w:p>
        </w:tc>
        <w:tc>
          <w:tcPr>
            <w:tcW w:w="7230" w:type="dxa"/>
            <w:tcBorders>
              <w:top w:val="single" w:sz="4" w:space="0" w:color="000000"/>
              <w:left w:val="single" w:sz="4" w:space="0" w:color="000000"/>
              <w:bottom w:val="single" w:sz="4" w:space="0" w:color="000000"/>
              <w:right w:val="single" w:sz="4" w:space="0" w:color="000000"/>
            </w:tcBorders>
            <w:vAlign w:val="center"/>
          </w:tcPr>
          <w:p w14:paraId="7B68E931" w14:textId="77777777" w:rsidR="004A3CD3" w:rsidRDefault="006C0598">
            <w:pPr>
              <w:spacing w:after="0" w:line="259" w:lineRule="auto"/>
              <w:ind w:left="0" w:right="0" w:firstLine="0"/>
              <w:jc w:val="left"/>
            </w:pPr>
            <w:r>
              <w:t xml:space="preserve">Eur. D.H., </w:t>
            </w:r>
            <w:r>
              <w:rPr>
                <w:i/>
              </w:rPr>
              <w:t xml:space="preserve">Budayeva and Others v. Russia </w:t>
            </w:r>
            <w:r>
              <w:t xml:space="preserve">judgment, 20 March 2008 </w:t>
            </w:r>
          </w:p>
        </w:tc>
      </w:tr>
      <w:tr w:rsidR="00E933CB" w14:paraId="48226881"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241C012F"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N.13 </w:t>
            </w:r>
          </w:p>
        </w:tc>
        <w:tc>
          <w:tcPr>
            <w:tcW w:w="1277" w:type="dxa"/>
            <w:tcBorders>
              <w:top w:val="single" w:sz="4" w:space="0" w:color="000000"/>
              <w:left w:val="single" w:sz="4" w:space="0" w:color="000000"/>
              <w:bottom w:val="single" w:sz="4" w:space="0" w:color="000000"/>
              <w:right w:val="single" w:sz="4" w:space="0" w:color="000000"/>
            </w:tcBorders>
          </w:tcPr>
          <w:p w14:paraId="61663AA5" w14:textId="77777777" w:rsidR="004A3CD3" w:rsidRDefault="006C0598">
            <w:pPr>
              <w:spacing w:after="0" w:line="259" w:lineRule="auto"/>
              <w:ind w:left="0" w:right="82"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vAlign w:val="center"/>
          </w:tcPr>
          <w:p w14:paraId="29E4C33B" w14:textId="77777777" w:rsidR="004A3CD3" w:rsidRDefault="006C0598">
            <w:pPr>
              <w:spacing w:after="0" w:line="259" w:lineRule="auto"/>
              <w:ind w:left="0" w:right="0" w:firstLine="0"/>
              <w:jc w:val="left"/>
            </w:pPr>
            <w:r>
              <w:t xml:space="preserve">Eur. D. H., judgment </w:t>
            </w:r>
            <w:r>
              <w:rPr>
                <w:i/>
              </w:rPr>
              <w:t>asbl Erablière v. Belgium</w:t>
            </w:r>
            <w:r>
              <w:t xml:space="preserve">, 24 February 2009 </w:t>
            </w:r>
          </w:p>
        </w:tc>
      </w:tr>
      <w:tr w:rsidR="00E933CB" w14:paraId="2AB7E544"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6B0FEDEF"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N.14 </w:t>
            </w:r>
          </w:p>
        </w:tc>
        <w:tc>
          <w:tcPr>
            <w:tcW w:w="1277" w:type="dxa"/>
            <w:tcBorders>
              <w:top w:val="single" w:sz="4" w:space="0" w:color="000000"/>
              <w:left w:val="single" w:sz="4" w:space="0" w:color="000000"/>
              <w:bottom w:val="single" w:sz="4" w:space="0" w:color="000000"/>
              <w:right w:val="single" w:sz="4" w:space="0" w:color="000000"/>
            </w:tcBorders>
          </w:tcPr>
          <w:p w14:paraId="5D27D831" w14:textId="77777777" w:rsidR="004A3CD3" w:rsidRDefault="006C0598">
            <w:pPr>
              <w:spacing w:after="0" w:line="259" w:lineRule="auto"/>
              <w:ind w:left="0" w:right="82"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vAlign w:val="center"/>
          </w:tcPr>
          <w:p w14:paraId="5C9DBF11" w14:textId="77777777" w:rsidR="004A3CD3" w:rsidRDefault="006C0598">
            <w:pPr>
              <w:spacing w:after="0" w:line="259" w:lineRule="auto"/>
              <w:ind w:left="0" w:right="0" w:firstLine="0"/>
              <w:jc w:val="left"/>
            </w:pPr>
            <w:r>
              <w:t xml:space="preserve">Eur. D.H., judgment in </w:t>
            </w:r>
            <w:r>
              <w:rPr>
                <w:i/>
              </w:rPr>
              <w:t>Tatar v. Romania</w:t>
            </w:r>
            <w:r>
              <w:t xml:space="preserve">, 27 January 2009 </w:t>
            </w:r>
          </w:p>
        </w:tc>
      </w:tr>
      <w:tr w:rsidR="00E933CB" w14:paraId="37A2F0D2" w14:textId="77777777">
        <w:trPr>
          <w:trHeight w:val="519"/>
        </w:trPr>
        <w:tc>
          <w:tcPr>
            <w:tcW w:w="674" w:type="dxa"/>
            <w:tcBorders>
              <w:top w:val="single" w:sz="4" w:space="0" w:color="000000"/>
              <w:left w:val="single" w:sz="4" w:space="0" w:color="000000"/>
              <w:bottom w:val="single" w:sz="4" w:space="0" w:color="000000"/>
              <w:right w:val="single" w:sz="4" w:space="0" w:color="000000"/>
            </w:tcBorders>
          </w:tcPr>
          <w:p w14:paraId="6BE31F5E" w14:textId="77777777" w:rsidR="004A3CD3" w:rsidRDefault="006C0598">
            <w:pPr>
              <w:spacing w:after="0" w:line="259" w:lineRule="auto"/>
              <w:ind w:left="0" w:right="0" w:firstLine="0"/>
              <w:jc w:val="left"/>
            </w:pPr>
            <w:r>
              <w:rPr>
                <w:rFonts w:ascii="Century Gothic" w:eastAsia="Century Gothic" w:hAnsi="Century Gothic" w:cs="Century Gothic"/>
                <w:b/>
                <w:sz w:val="20"/>
              </w:rPr>
              <w:lastRenderedPageBreak/>
              <w:t xml:space="preserve">N.15 </w:t>
            </w:r>
          </w:p>
        </w:tc>
        <w:tc>
          <w:tcPr>
            <w:tcW w:w="1277" w:type="dxa"/>
            <w:tcBorders>
              <w:top w:val="single" w:sz="4" w:space="0" w:color="000000"/>
              <w:left w:val="single" w:sz="4" w:space="0" w:color="000000"/>
              <w:bottom w:val="single" w:sz="4" w:space="0" w:color="000000"/>
              <w:right w:val="single" w:sz="4" w:space="0" w:color="000000"/>
            </w:tcBorders>
          </w:tcPr>
          <w:p w14:paraId="033745CC" w14:textId="77777777" w:rsidR="004A3CD3" w:rsidRDefault="006C0598">
            <w:pPr>
              <w:spacing w:after="0" w:line="259" w:lineRule="auto"/>
              <w:ind w:left="0" w:right="82" w:firstLine="0"/>
              <w:jc w:val="right"/>
            </w:pPr>
            <w:r>
              <w:t xml:space="preserve">2009 </w:t>
            </w:r>
          </w:p>
        </w:tc>
        <w:tc>
          <w:tcPr>
            <w:tcW w:w="7230" w:type="dxa"/>
            <w:tcBorders>
              <w:top w:val="single" w:sz="4" w:space="0" w:color="000000"/>
              <w:left w:val="single" w:sz="4" w:space="0" w:color="000000"/>
              <w:bottom w:val="single" w:sz="4" w:space="0" w:color="000000"/>
              <w:right w:val="single" w:sz="4" w:space="0" w:color="000000"/>
            </w:tcBorders>
            <w:vAlign w:val="center"/>
          </w:tcPr>
          <w:p w14:paraId="7A7D6545" w14:textId="77777777" w:rsidR="004A3CD3" w:rsidRDefault="006C0598">
            <w:pPr>
              <w:spacing w:after="0" w:line="259" w:lineRule="auto"/>
              <w:ind w:left="0" w:right="0" w:firstLine="0"/>
              <w:jc w:val="left"/>
            </w:pPr>
            <w:r>
              <w:t xml:space="preserve">Eur. D.H., </w:t>
            </w:r>
            <w:r>
              <w:rPr>
                <w:i/>
              </w:rPr>
              <w:t>Branduse v. Romania</w:t>
            </w:r>
            <w:r>
              <w:t xml:space="preserve">, 7 April 2009 </w:t>
            </w:r>
          </w:p>
        </w:tc>
      </w:tr>
      <w:tr w:rsidR="00E933CB" w14:paraId="250B097D"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00FD704D"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N.16 </w:t>
            </w:r>
          </w:p>
        </w:tc>
        <w:tc>
          <w:tcPr>
            <w:tcW w:w="1277" w:type="dxa"/>
            <w:tcBorders>
              <w:top w:val="single" w:sz="4" w:space="0" w:color="000000"/>
              <w:left w:val="single" w:sz="4" w:space="0" w:color="000000"/>
              <w:bottom w:val="single" w:sz="4" w:space="0" w:color="000000"/>
              <w:right w:val="single" w:sz="4" w:space="0" w:color="000000"/>
            </w:tcBorders>
          </w:tcPr>
          <w:p w14:paraId="15C9DC71" w14:textId="77777777" w:rsidR="004A3CD3" w:rsidRDefault="006C0598">
            <w:pPr>
              <w:spacing w:after="0" w:line="259" w:lineRule="auto"/>
              <w:ind w:left="0" w:right="82" w:firstLine="0"/>
              <w:jc w:val="right"/>
            </w:pPr>
            <w:r>
              <w:t xml:space="preserve">2010 </w:t>
            </w:r>
          </w:p>
        </w:tc>
        <w:tc>
          <w:tcPr>
            <w:tcW w:w="7230" w:type="dxa"/>
            <w:tcBorders>
              <w:top w:val="single" w:sz="4" w:space="0" w:color="000000"/>
              <w:left w:val="single" w:sz="4" w:space="0" w:color="000000"/>
              <w:bottom w:val="single" w:sz="4" w:space="0" w:color="000000"/>
              <w:right w:val="single" w:sz="4" w:space="0" w:color="000000"/>
            </w:tcBorders>
            <w:vAlign w:val="center"/>
          </w:tcPr>
          <w:p w14:paraId="7C1AA3CE" w14:textId="77777777" w:rsidR="004A3CD3" w:rsidRDefault="006C0598">
            <w:pPr>
              <w:spacing w:after="0" w:line="259" w:lineRule="auto"/>
              <w:ind w:left="0" w:right="0" w:firstLine="0"/>
              <w:jc w:val="left"/>
            </w:pPr>
            <w:r>
              <w:t xml:space="preserve">Eur. D.H., judgment in </w:t>
            </w:r>
            <w:r>
              <w:rPr>
                <w:i/>
              </w:rPr>
              <w:t>Deés v. Hungary</w:t>
            </w:r>
            <w:r>
              <w:t xml:space="preserve">, 9 November 2010 </w:t>
            </w:r>
          </w:p>
        </w:tc>
      </w:tr>
      <w:tr w:rsidR="00E933CB" w14:paraId="75E890A7"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3377D501"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N.17 </w:t>
            </w:r>
          </w:p>
        </w:tc>
        <w:tc>
          <w:tcPr>
            <w:tcW w:w="1277" w:type="dxa"/>
            <w:tcBorders>
              <w:top w:val="single" w:sz="4" w:space="0" w:color="000000"/>
              <w:left w:val="single" w:sz="4" w:space="0" w:color="000000"/>
              <w:bottom w:val="single" w:sz="4" w:space="0" w:color="000000"/>
              <w:right w:val="single" w:sz="4" w:space="0" w:color="000000"/>
            </w:tcBorders>
          </w:tcPr>
          <w:p w14:paraId="173363FA" w14:textId="77777777" w:rsidR="004A3CD3" w:rsidRDefault="006C0598">
            <w:pPr>
              <w:spacing w:after="0" w:line="259" w:lineRule="auto"/>
              <w:ind w:left="0" w:right="82" w:firstLine="0"/>
              <w:jc w:val="right"/>
            </w:pPr>
            <w:r>
              <w:t xml:space="preserve">2011 </w:t>
            </w:r>
          </w:p>
        </w:tc>
        <w:tc>
          <w:tcPr>
            <w:tcW w:w="7230" w:type="dxa"/>
            <w:tcBorders>
              <w:top w:val="single" w:sz="4" w:space="0" w:color="000000"/>
              <w:left w:val="single" w:sz="4" w:space="0" w:color="000000"/>
              <w:bottom w:val="single" w:sz="4" w:space="0" w:color="000000"/>
              <w:right w:val="single" w:sz="4" w:space="0" w:color="000000"/>
            </w:tcBorders>
            <w:vAlign w:val="center"/>
          </w:tcPr>
          <w:p w14:paraId="298F34C7" w14:textId="77777777" w:rsidR="004A3CD3" w:rsidRDefault="006C0598">
            <w:pPr>
              <w:spacing w:after="0" w:line="259" w:lineRule="auto"/>
              <w:ind w:left="0" w:right="0" w:firstLine="0"/>
              <w:jc w:val="left"/>
            </w:pPr>
            <w:r>
              <w:t xml:space="preserve">Eur. D.H., </w:t>
            </w:r>
            <w:r>
              <w:rPr>
                <w:i/>
              </w:rPr>
              <w:t xml:space="preserve">Oneryildiz v. Turkey </w:t>
            </w:r>
            <w:r>
              <w:t xml:space="preserve">judgment, 30 November 2011 </w:t>
            </w:r>
          </w:p>
        </w:tc>
      </w:tr>
      <w:tr w:rsidR="00E933CB" w14:paraId="571ED5CD"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7602591D"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N.18 </w:t>
            </w:r>
          </w:p>
        </w:tc>
        <w:tc>
          <w:tcPr>
            <w:tcW w:w="1277" w:type="dxa"/>
            <w:tcBorders>
              <w:top w:val="single" w:sz="4" w:space="0" w:color="000000"/>
              <w:left w:val="single" w:sz="4" w:space="0" w:color="000000"/>
              <w:bottom w:val="single" w:sz="4" w:space="0" w:color="000000"/>
              <w:right w:val="single" w:sz="4" w:space="0" w:color="000000"/>
            </w:tcBorders>
          </w:tcPr>
          <w:p w14:paraId="5321B6E1" w14:textId="77777777" w:rsidR="004A3CD3" w:rsidRDefault="006C0598">
            <w:pPr>
              <w:spacing w:after="0" w:line="259" w:lineRule="auto"/>
              <w:ind w:left="0" w:right="82" w:firstLine="0"/>
              <w:jc w:val="right"/>
            </w:pPr>
            <w:r>
              <w:t xml:space="preserve">2011 </w:t>
            </w:r>
          </w:p>
        </w:tc>
        <w:tc>
          <w:tcPr>
            <w:tcW w:w="7230" w:type="dxa"/>
            <w:tcBorders>
              <w:top w:val="single" w:sz="4" w:space="0" w:color="000000"/>
              <w:left w:val="single" w:sz="4" w:space="0" w:color="000000"/>
              <w:bottom w:val="single" w:sz="4" w:space="0" w:color="000000"/>
              <w:right w:val="single" w:sz="4" w:space="0" w:color="000000"/>
            </w:tcBorders>
            <w:vAlign w:val="center"/>
          </w:tcPr>
          <w:p w14:paraId="4F71ADA1" w14:textId="77777777" w:rsidR="004A3CD3" w:rsidRDefault="006C0598">
            <w:pPr>
              <w:spacing w:after="0" w:line="259" w:lineRule="auto"/>
              <w:ind w:left="0" w:right="0" w:firstLine="0"/>
              <w:jc w:val="left"/>
            </w:pPr>
            <w:r>
              <w:t xml:space="preserve">Eur. D.H., judgment </w:t>
            </w:r>
            <w:r>
              <w:rPr>
                <w:i/>
              </w:rPr>
              <w:t>Georgel and Georgeta Stoicescu v. Romania</w:t>
            </w:r>
            <w:r>
              <w:t xml:space="preserve">, 26 July 2011 </w:t>
            </w:r>
          </w:p>
        </w:tc>
      </w:tr>
      <w:tr w:rsidR="00E933CB" w14:paraId="76C16573"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54FCEAEB"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N.19 </w:t>
            </w:r>
          </w:p>
        </w:tc>
        <w:tc>
          <w:tcPr>
            <w:tcW w:w="1277" w:type="dxa"/>
            <w:tcBorders>
              <w:top w:val="single" w:sz="4" w:space="0" w:color="000000"/>
              <w:left w:val="single" w:sz="4" w:space="0" w:color="000000"/>
              <w:bottom w:val="single" w:sz="4" w:space="0" w:color="000000"/>
              <w:right w:val="single" w:sz="4" w:space="0" w:color="000000"/>
            </w:tcBorders>
          </w:tcPr>
          <w:p w14:paraId="05CD2439" w14:textId="77777777" w:rsidR="004A3CD3" w:rsidRDefault="006C0598">
            <w:pPr>
              <w:spacing w:after="0" w:line="259" w:lineRule="auto"/>
              <w:ind w:left="0" w:right="82" w:firstLine="0"/>
              <w:jc w:val="right"/>
            </w:pPr>
            <w:r>
              <w:t xml:space="preserve">2011 </w:t>
            </w:r>
          </w:p>
        </w:tc>
        <w:tc>
          <w:tcPr>
            <w:tcW w:w="7230" w:type="dxa"/>
            <w:tcBorders>
              <w:top w:val="single" w:sz="4" w:space="0" w:color="000000"/>
              <w:left w:val="single" w:sz="4" w:space="0" w:color="000000"/>
              <w:bottom w:val="single" w:sz="4" w:space="0" w:color="000000"/>
              <w:right w:val="single" w:sz="4" w:space="0" w:color="000000"/>
            </w:tcBorders>
            <w:vAlign w:val="center"/>
          </w:tcPr>
          <w:p w14:paraId="29F352EF" w14:textId="77777777" w:rsidR="004A3CD3" w:rsidRDefault="006C0598">
            <w:pPr>
              <w:spacing w:after="0" w:line="259" w:lineRule="auto"/>
              <w:ind w:left="0" w:right="0" w:firstLine="0"/>
              <w:jc w:val="left"/>
            </w:pPr>
            <w:r>
              <w:t xml:space="preserve">Eur. D.H., judgment in </w:t>
            </w:r>
            <w:r>
              <w:rPr>
                <w:i/>
              </w:rPr>
              <w:t>Dubetska and Others v. Ukraine</w:t>
            </w:r>
            <w:r>
              <w:t xml:space="preserve">, 10 February 2011 </w:t>
            </w:r>
          </w:p>
        </w:tc>
      </w:tr>
      <w:tr w:rsidR="00E933CB" w14:paraId="71337557"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745DE9AE"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N.20 </w:t>
            </w:r>
          </w:p>
        </w:tc>
        <w:tc>
          <w:tcPr>
            <w:tcW w:w="1277" w:type="dxa"/>
            <w:tcBorders>
              <w:top w:val="single" w:sz="4" w:space="0" w:color="000000"/>
              <w:left w:val="single" w:sz="4" w:space="0" w:color="000000"/>
              <w:bottom w:val="single" w:sz="4" w:space="0" w:color="000000"/>
              <w:right w:val="single" w:sz="4" w:space="0" w:color="000000"/>
            </w:tcBorders>
          </w:tcPr>
          <w:p w14:paraId="51DAB09F" w14:textId="77777777" w:rsidR="004A3CD3" w:rsidRDefault="006C0598">
            <w:pPr>
              <w:spacing w:after="0" w:line="259" w:lineRule="auto"/>
              <w:ind w:left="0" w:right="82" w:firstLine="0"/>
              <w:jc w:val="right"/>
            </w:pPr>
            <w:r>
              <w:t xml:space="preserve">2012 </w:t>
            </w:r>
          </w:p>
        </w:tc>
        <w:tc>
          <w:tcPr>
            <w:tcW w:w="7230" w:type="dxa"/>
            <w:tcBorders>
              <w:top w:val="single" w:sz="4" w:space="0" w:color="000000"/>
              <w:left w:val="single" w:sz="4" w:space="0" w:color="000000"/>
              <w:bottom w:val="single" w:sz="4" w:space="0" w:color="000000"/>
              <w:right w:val="single" w:sz="4" w:space="0" w:color="000000"/>
            </w:tcBorders>
            <w:vAlign w:val="center"/>
          </w:tcPr>
          <w:p w14:paraId="4DB699B4" w14:textId="77777777" w:rsidR="004A3CD3" w:rsidRDefault="006C0598">
            <w:pPr>
              <w:spacing w:after="0" w:line="259" w:lineRule="auto"/>
              <w:ind w:left="0" w:right="0" w:firstLine="0"/>
              <w:jc w:val="left"/>
            </w:pPr>
            <w:r>
              <w:t xml:space="preserve">Eur. D. H., judgment in </w:t>
            </w:r>
            <w:r>
              <w:rPr>
                <w:i/>
              </w:rPr>
              <w:t>Poirot v. France</w:t>
            </w:r>
            <w:r>
              <w:t xml:space="preserve">, 15 March 2012 </w:t>
            </w:r>
          </w:p>
        </w:tc>
      </w:tr>
      <w:tr w:rsidR="00E933CB" w14:paraId="5D55C754"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5E297A79"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N.21 </w:t>
            </w:r>
          </w:p>
        </w:tc>
        <w:tc>
          <w:tcPr>
            <w:tcW w:w="1277" w:type="dxa"/>
            <w:tcBorders>
              <w:top w:val="single" w:sz="4" w:space="0" w:color="000000"/>
              <w:left w:val="single" w:sz="4" w:space="0" w:color="000000"/>
              <w:bottom w:val="single" w:sz="4" w:space="0" w:color="000000"/>
              <w:right w:val="single" w:sz="4" w:space="0" w:color="000000"/>
            </w:tcBorders>
          </w:tcPr>
          <w:p w14:paraId="784C5523" w14:textId="77777777" w:rsidR="004A3CD3" w:rsidRDefault="006C0598">
            <w:pPr>
              <w:spacing w:after="0" w:line="259" w:lineRule="auto"/>
              <w:ind w:left="0" w:right="82" w:firstLine="0"/>
              <w:jc w:val="right"/>
            </w:pPr>
            <w:r>
              <w:t xml:space="preserve">2012 </w:t>
            </w:r>
          </w:p>
        </w:tc>
        <w:tc>
          <w:tcPr>
            <w:tcW w:w="7230" w:type="dxa"/>
            <w:tcBorders>
              <w:top w:val="single" w:sz="4" w:space="0" w:color="000000"/>
              <w:left w:val="single" w:sz="4" w:space="0" w:color="000000"/>
              <w:bottom w:val="single" w:sz="4" w:space="0" w:color="000000"/>
              <w:right w:val="single" w:sz="4" w:space="0" w:color="000000"/>
            </w:tcBorders>
            <w:vAlign w:val="center"/>
          </w:tcPr>
          <w:p w14:paraId="236B101C" w14:textId="77777777" w:rsidR="004A3CD3" w:rsidRDefault="006C0598">
            <w:pPr>
              <w:spacing w:after="0" w:line="259" w:lineRule="auto"/>
              <w:ind w:left="0" w:right="0" w:firstLine="0"/>
              <w:jc w:val="left"/>
            </w:pPr>
            <w:r>
              <w:t xml:space="preserve">Eur. D.H., judgment in </w:t>
            </w:r>
            <w:r>
              <w:rPr>
                <w:i/>
              </w:rPr>
              <w:t>Di Sarno and Others v. Italy</w:t>
            </w:r>
            <w:r>
              <w:t xml:space="preserve">, 10 January 2012 </w:t>
            </w:r>
          </w:p>
        </w:tc>
      </w:tr>
      <w:tr w:rsidR="00E933CB" w14:paraId="0369F04F"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3ECCD475"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N.22 </w:t>
            </w:r>
          </w:p>
        </w:tc>
        <w:tc>
          <w:tcPr>
            <w:tcW w:w="1277" w:type="dxa"/>
            <w:tcBorders>
              <w:top w:val="single" w:sz="4" w:space="0" w:color="000000"/>
              <w:left w:val="single" w:sz="4" w:space="0" w:color="000000"/>
              <w:bottom w:val="single" w:sz="4" w:space="0" w:color="000000"/>
              <w:right w:val="single" w:sz="4" w:space="0" w:color="000000"/>
            </w:tcBorders>
          </w:tcPr>
          <w:p w14:paraId="52FF5868" w14:textId="77777777" w:rsidR="004A3CD3" w:rsidRDefault="006C0598">
            <w:pPr>
              <w:spacing w:after="0" w:line="259" w:lineRule="auto"/>
              <w:ind w:left="0" w:right="82" w:firstLine="0"/>
              <w:jc w:val="right"/>
            </w:pPr>
            <w:r>
              <w:t xml:space="preserve">2012 </w:t>
            </w:r>
          </w:p>
        </w:tc>
        <w:tc>
          <w:tcPr>
            <w:tcW w:w="7230" w:type="dxa"/>
            <w:tcBorders>
              <w:top w:val="single" w:sz="4" w:space="0" w:color="000000"/>
              <w:left w:val="single" w:sz="4" w:space="0" w:color="000000"/>
              <w:bottom w:val="single" w:sz="4" w:space="0" w:color="000000"/>
              <w:right w:val="single" w:sz="4" w:space="0" w:color="000000"/>
            </w:tcBorders>
            <w:vAlign w:val="center"/>
          </w:tcPr>
          <w:p w14:paraId="28EF67B2" w14:textId="77777777" w:rsidR="004A3CD3" w:rsidRDefault="006C0598">
            <w:pPr>
              <w:spacing w:after="0" w:line="259" w:lineRule="auto"/>
              <w:ind w:left="0" w:right="0" w:firstLine="0"/>
              <w:jc w:val="left"/>
            </w:pPr>
            <w:r>
              <w:t xml:space="preserve">Eur. D.H., judgment in </w:t>
            </w:r>
            <w:r>
              <w:rPr>
                <w:i/>
              </w:rPr>
              <w:t>Kolyadenko and Others v. Russia</w:t>
            </w:r>
            <w:r>
              <w:t xml:space="preserve">, 28 February 2012 </w:t>
            </w:r>
          </w:p>
        </w:tc>
      </w:tr>
      <w:tr w:rsidR="00E933CB" w14:paraId="288FEA1D" w14:textId="77777777">
        <w:trPr>
          <w:trHeight w:val="521"/>
        </w:trPr>
        <w:tc>
          <w:tcPr>
            <w:tcW w:w="674" w:type="dxa"/>
            <w:tcBorders>
              <w:top w:val="single" w:sz="4" w:space="0" w:color="000000"/>
              <w:left w:val="single" w:sz="4" w:space="0" w:color="000000"/>
              <w:bottom w:val="single" w:sz="4" w:space="0" w:color="000000"/>
              <w:right w:val="single" w:sz="4" w:space="0" w:color="000000"/>
            </w:tcBorders>
          </w:tcPr>
          <w:p w14:paraId="1234B59C"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N.23 </w:t>
            </w:r>
          </w:p>
        </w:tc>
        <w:tc>
          <w:tcPr>
            <w:tcW w:w="1277" w:type="dxa"/>
            <w:tcBorders>
              <w:top w:val="single" w:sz="4" w:space="0" w:color="000000"/>
              <w:left w:val="single" w:sz="4" w:space="0" w:color="000000"/>
              <w:bottom w:val="single" w:sz="4" w:space="0" w:color="000000"/>
              <w:right w:val="single" w:sz="4" w:space="0" w:color="000000"/>
            </w:tcBorders>
          </w:tcPr>
          <w:p w14:paraId="0B27C9E9" w14:textId="77777777" w:rsidR="004A3CD3" w:rsidRDefault="006C0598">
            <w:pPr>
              <w:spacing w:after="0" w:line="259" w:lineRule="auto"/>
              <w:ind w:left="0" w:right="82" w:firstLine="0"/>
              <w:jc w:val="right"/>
            </w:pPr>
            <w:r>
              <w:t xml:space="preserve">2013 </w:t>
            </w:r>
          </w:p>
        </w:tc>
        <w:tc>
          <w:tcPr>
            <w:tcW w:w="7230" w:type="dxa"/>
            <w:tcBorders>
              <w:top w:val="single" w:sz="4" w:space="0" w:color="000000"/>
              <w:left w:val="single" w:sz="4" w:space="0" w:color="000000"/>
              <w:bottom w:val="single" w:sz="4" w:space="0" w:color="000000"/>
              <w:right w:val="single" w:sz="4" w:space="0" w:color="000000"/>
            </w:tcBorders>
            <w:vAlign w:val="center"/>
          </w:tcPr>
          <w:p w14:paraId="1079B7E1" w14:textId="77777777" w:rsidR="004A3CD3" w:rsidRDefault="006C0598">
            <w:pPr>
              <w:spacing w:after="0" w:line="259" w:lineRule="auto"/>
              <w:ind w:left="0" w:right="0" w:firstLine="0"/>
              <w:jc w:val="left"/>
            </w:pPr>
            <w:r>
              <w:t xml:space="preserve">Eur. D.H., </w:t>
            </w:r>
            <w:r>
              <w:rPr>
                <w:i/>
              </w:rPr>
              <w:t xml:space="preserve">Fabris v. France </w:t>
            </w:r>
            <w:r>
              <w:t xml:space="preserve">judgment, 7 February 2013 </w:t>
            </w:r>
          </w:p>
        </w:tc>
      </w:tr>
      <w:tr w:rsidR="00E933CB" w14:paraId="067B21CB"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341516EE"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N.24 </w:t>
            </w:r>
          </w:p>
        </w:tc>
        <w:tc>
          <w:tcPr>
            <w:tcW w:w="1277" w:type="dxa"/>
            <w:tcBorders>
              <w:top w:val="single" w:sz="4" w:space="0" w:color="000000"/>
              <w:left w:val="single" w:sz="4" w:space="0" w:color="000000"/>
              <w:bottom w:val="single" w:sz="4" w:space="0" w:color="000000"/>
              <w:right w:val="single" w:sz="4" w:space="0" w:color="000000"/>
            </w:tcBorders>
          </w:tcPr>
          <w:p w14:paraId="281D6B60" w14:textId="77777777" w:rsidR="004A3CD3" w:rsidRDefault="006C0598">
            <w:pPr>
              <w:spacing w:after="0" w:line="259" w:lineRule="auto"/>
              <w:ind w:left="0" w:right="82" w:firstLine="0"/>
              <w:jc w:val="right"/>
            </w:pPr>
            <w:r>
              <w:t xml:space="preserve">2015 </w:t>
            </w:r>
          </w:p>
        </w:tc>
        <w:tc>
          <w:tcPr>
            <w:tcW w:w="7230" w:type="dxa"/>
            <w:tcBorders>
              <w:top w:val="single" w:sz="4" w:space="0" w:color="000000"/>
              <w:left w:val="single" w:sz="4" w:space="0" w:color="000000"/>
              <w:bottom w:val="single" w:sz="4" w:space="0" w:color="000000"/>
              <w:right w:val="single" w:sz="4" w:space="0" w:color="000000"/>
            </w:tcBorders>
            <w:vAlign w:val="center"/>
          </w:tcPr>
          <w:p w14:paraId="0BACFD39" w14:textId="77777777" w:rsidR="004A3CD3" w:rsidRDefault="006C0598">
            <w:pPr>
              <w:spacing w:after="0" w:line="259" w:lineRule="auto"/>
              <w:ind w:left="0" w:right="0" w:firstLine="0"/>
              <w:jc w:val="left"/>
            </w:pPr>
            <w:r>
              <w:t xml:space="preserve">Eur. D.H., </w:t>
            </w:r>
            <w:r>
              <w:rPr>
                <w:i/>
              </w:rPr>
              <w:t xml:space="preserve">Özel and others v. Turkey </w:t>
            </w:r>
            <w:r>
              <w:t xml:space="preserve">judgment, 17 November 2015 </w:t>
            </w:r>
          </w:p>
        </w:tc>
      </w:tr>
      <w:tr w:rsidR="00E933CB" w14:paraId="7FC6A27F"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3CCC110F"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N.25 </w:t>
            </w:r>
          </w:p>
        </w:tc>
        <w:tc>
          <w:tcPr>
            <w:tcW w:w="1277" w:type="dxa"/>
            <w:tcBorders>
              <w:top w:val="single" w:sz="4" w:space="0" w:color="000000"/>
              <w:left w:val="single" w:sz="4" w:space="0" w:color="000000"/>
              <w:bottom w:val="single" w:sz="4" w:space="0" w:color="000000"/>
              <w:right w:val="single" w:sz="4" w:space="0" w:color="000000"/>
            </w:tcBorders>
          </w:tcPr>
          <w:p w14:paraId="7BB73BA5" w14:textId="77777777" w:rsidR="004A3CD3" w:rsidRDefault="006C0598">
            <w:pPr>
              <w:spacing w:after="0" w:line="259" w:lineRule="auto"/>
              <w:ind w:left="0" w:right="82" w:firstLine="0"/>
              <w:jc w:val="right"/>
            </w:pPr>
            <w:r>
              <w:t xml:space="preserve">2015 </w:t>
            </w:r>
          </w:p>
        </w:tc>
        <w:tc>
          <w:tcPr>
            <w:tcW w:w="7230" w:type="dxa"/>
            <w:tcBorders>
              <w:top w:val="single" w:sz="4" w:space="0" w:color="000000"/>
              <w:left w:val="single" w:sz="4" w:space="0" w:color="000000"/>
              <w:bottom w:val="single" w:sz="4" w:space="0" w:color="000000"/>
              <w:right w:val="single" w:sz="4" w:space="0" w:color="000000"/>
            </w:tcBorders>
            <w:vAlign w:val="center"/>
          </w:tcPr>
          <w:p w14:paraId="3F7828EB" w14:textId="77777777" w:rsidR="004A3CD3" w:rsidRDefault="006C0598">
            <w:pPr>
              <w:spacing w:after="0" w:line="259" w:lineRule="auto"/>
              <w:ind w:left="0" w:right="0" w:firstLine="0"/>
              <w:jc w:val="left"/>
            </w:pPr>
            <w:r>
              <w:t xml:space="preserve">Eur. D.H., </w:t>
            </w:r>
            <w:r>
              <w:rPr>
                <w:i/>
              </w:rPr>
              <w:t xml:space="preserve">Smaltini v. Italy </w:t>
            </w:r>
            <w:r>
              <w:t xml:space="preserve">judgment, 24 March 2015 </w:t>
            </w:r>
          </w:p>
        </w:tc>
      </w:tr>
      <w:tr w:rsidR="00E933CB" w14:paraId="3D515A53"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0254EE42"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N.26 </w:t>
            </w:r>
          </w:p>
        </w:tc>
        <w:tc>
          <w:tcPr>
            <w:tcW w:w="1277" w:type="dxa"/>
            <w:tcBorders>
              <w:top w:val="single" w:sz="4" w:space="0" w:color="000000"/>
              <w:left w:val="single" w:sz="4" w:space="0" w:color="000000"/>
              <w:bottom w:val="single" w:sz="4" w:space="0" w:color="000000"/>
              <w:right w:val="single" w:sz="4" w:space="0" w:color="000000"/>
            </w:tcBorders>
          </w:tcPr>
          <w:p w14:paraId="0F4500DE" w14:textId="77777777" w:rsidR="004A3CD3" w:rsidRDefault="006C0598">
            <w:pPr>
              <w:spacing w:after="0" w:line="259" w:lineRule="auto"/>
              <w:ind w:left="0" w:right="82" w:firstLine="0"/>
              <w:jc w:val="right"/>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653F028A" w14:textId="77777777" w:rsidR="004A3CD3" w:rsidRDefault="006C0598">
            <w:pPr>
              <w:spacing w:after="0" w:line="259" w:lineRule="auto"/>
              <w:ind w:left="0" w:right="0" w:firstLine="0"/>
              <w:jc w:val="left"/>
            </w:pPr>
            <w:r>
              <w:t xml:space="preserve">Eur. D.H., </w:t>
            </w:r>
            <w:r>
              <w:rPr>
                <w:i/>
              </w:rPr>
              <w:t xml:space="preserve">Cordella and others v. Italy </w:t>
            </w:r>
            <w:r>
              <w:t xml:space="preserve">judgment, 24 January 2019 </w:t>
            </w:r>
          </w:p>
        </w:tc>
      </w:tr>
    </w:tbl>
    <w:p w14:paraId="7502F518" w14:textId="77777777" w:rsidR="00E933CB" w:rsidRDefault="00825B93">
      <w:pPr>
        <w:spacing w:after="98" w:line="259" w:lineRule="auto"/>
        <w:ind w:left="464" w:right="0" w:firstLine="0"/>
        <w:jc w:val="left"/>
      </w:pPr>
      <w:r>
        <w:t xml:space="preserve"> </w:t>
      </w:r>
    </w:p>
    <w:p w14:paraId="0D819CD9" w14:textId="77777777" w:rsidR="00E933CB" w:rsidRDefault="00825B93">
      <w:pPr>
        <w:spacing w:after="0" w:line="259" w:lineRule="auto"/>
        <w:ind w:left="0" w:right="9117" w:firstLine="0"/>
        <w:jc w:val="right"/>
      </w:pPr>
      <w:r>
        <w:t xml:space="preserve"> </w:t>
      </w:r>
    </w:p>
    <w:tbl>
      <w:tblPr>
        <w:tblStyle w:val="TableGrid"/>
        <w:tblW w:w="9182" w:type="dxa"/>
        <w:tblInd w:w="468" w:type="dxa"/>
        <w:tblCellMar>
          <w:top w:w="48" w:type="dxa"/>
          <w:right w:w="58" w:type="dxa"/>
        </w:tblCellMar>
        <w:tblLook w:val="04A0" w:firstRow="1" w:lastRow="0" w:firstColumn="1" w:lastColumn="0" w:noHBand="0" w:noVBand="1"/>
      </w:tblPr>
      <w:tblGrid>
        <w:gridCol w:w="674"/>
        <w:gridCol w:w="1277"/>
        <w:gridCol w:w="7231"/>
      </w:tblGrid>
      <w:tr w:rsidR="00E933CB" w14:paraId="28AA5C2B" w14:textId="77777777">
        <w:trPr>
          <w:trHeight w:val="571"/>
        </w:trPr>
        <w:tc>
          <w:tcPr>
            <w:tcW w:w="674" w:type="dxa"/>
            <w:tcBorders>
              <w:top w:val="single" w:sz="4" w:space="0" w:color="000000"/>
              <w:left w:val="single" w:sz="4" w:space="0" w:color="000000"/>
              <w:bottom w:val="single" w:sz="4" w:space="0" w:color="000000"/>
              <w:right w:val="nil"/>
            </w:tcBorders>
          </w:tcPr>
          <w:p w14:paraId="406ADF83" w14:textId="77777777" w:rsidR="00E933CB" w:rsidRDefault="00E933CB">
            <w:pPr>
              <w:spacing w:after="160" w:line="259" w:lineRule="auto"/>
              <w:ind w:left="0" w:right="0" w:firstLine="0"/>
              <w:jc w:val="left"/>
            </w:pPr>
          </w:p>
        </w:tc>
        <w:tc>
          <w:tcPr>
            <w:tcW w:w="1277" w:type="dxa"/>
            <w:tcBorders>
              <w:top w:val="single" w:sz="4" w:space="0" w:color="000000"/>
              <w:left w:val="nil"/>
              <w:bottom w:val="single" w:sz="4" w:space="0" w:color="000000"/>
              <w:right w:val="nil"/>
            </w:tcBorders>
          </w:tcPr>
          <w:p w14:paraId="5F0D84A5" w14:textId="77777777" w:rsidR="00E933CB" w:rsidRDefault="00E933CB">
            <w:pPr>
              <w:spacing w:after="160" w:line="259" w:lineRule="auto"/>
              <w:ind w:left="0" w:right="0" w:firstLine="0"/>
              <w:jc w:val="left"/>
            </w:pPr>
          </w:p>
        </w:tc>
        <w:tc>
          <w:tcPr>
            <w:tcW w:w="7230" w:type="dxa"/>
            <w:tcBorders>
              <w:top w:val="single" w:sz="4" w:space="0" w:color="000000"/>
              <w:left w:val="nil"/>
              <w:bottom w:val="single" w:sz="4" w:space="0" w:color="000000"/>
              <w:right w:val="single" w:sz="4" w:space="0" w:color="000000"/>
            </w:tcBorders>
          </w:tcPr>
          <w:p w14:paraId="24A6A8E7" w14:textId="77777777" w:rsidR="004A3CD3" w:rsidRDefault="006C0598">
            <w:pPr>
              <w:spacing w:after="0" w:line="259" w:lineRule="auto"/>
              <w:ind w:left="-29" w:right="0" w:firstLine="0"/>
              <w:jc w:val="left"/>
            </w:pPr>
            <w:r>
              <w:rPr>
                <w:b/>
                <w:sz w:val="40"/>
              </w:rPr>
              <w:t xml:space="preserve">O. </w:t>
            </w:r>
            <w:r>
              <w:rPr>
                <w:b/>
                <w:sz w:val="40"/>
                <w:u w:val="single" w:color="000000"/>
              </w:rPr>
              <w:t xml:space="preserve">International jurisprudence </w:t>
            </w:r>
          </w:p>
        </w:tc>
      </w:tr>
      <w:tr w:rsidR="00E933CB" w14:paraId="29BE0DCF"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2A9EA494" w14:textId="77777777" w:rsidR="00E933CB" w:rsidRDefault="00825B93">
            <w:pPr>
              <w:spacing w:after="0" w:line="259" w:lineRule="auto"/>
              <w:ind w:left="43"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31C9C22" w14:textId="77777777" w:rsidR="004A3CD3" w:rsidRDefault="006C0598">
            <w:pPr>
              <w:spacing w:after="0" w:line="259" w:lineRule="auto"/>
              <w:ind w:left="23" w:right="0" w:firstLine="0"/>
              <w:jc w:val="center"/>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tcPr>
          <w:p w14:paraId="1B9E7A14" w14:textId="77777777" w:rsidR="004A3CD3" w:rsidRDefault="006C0598">
            <w:pPr>
              <w:spacing w:after="0" w:line="259" w:lineRule="auto"/>
              <w:ind w:left="108" w:right="0" w:firstLine="0"/>
              <w:jc w:val="left"/>
            </w:pPr>
            <w:r>
              <w:rPr>
                <w:b/>
              </w:rPr>
              <w:t xml:space="preserve">Description </w:t>
            </w:r>
          </w:p>
        </w:tc>
      </w:tr>
      <w:tr w:rsidR="00E933CB" w14:paraId="112A2B35"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7B248F0B" w14:textId="77777777" w:rsidR="004A3CD3" w:rsidRDefault="006C0598">
            <w:pPr>
              <w:spacing w:after="0" w:line="259" w:lineRule="auto"/>
              <w:ind w:left="137" w:right="0" w:firstLine="0"/>
              <w:jc w:val="left"/>
            </w:pPr>
            <w:r>
              <w:rPr>
                <w:rFonts w:ascii="Century Gothic" w:eastAsia="Century Gothic" w:hAnsi="Century Gothic" w:cs="Century Gothic"/>
                <w:b/>
                <w:sz w:val="20"/>
              </w:rPr>
              <w:t xml:space="preserve">O.1 </w:t>
            </w:r>
          </w:p>
        </w:tc>
        <w:tc>
          <w:tcPr>
            <w:tcW w:w="1277" w:type="dxa"/>
            <w:tcBorders>
              <w:top w:val="single" w:sz="4" w:space="0" w:color="000000"/>
              <w:left w:val="single" w:sz="4" w:space="0" w:color="000000"/>
              <w:bottom w:val="single" w:sz="4" w:space="0" w:color="000000"/>
              <w:right w:val="single" w:sz="4" w:space="0" w:color="000000"/>
            </w:tcBorders>
          </w:tcPr>
          <w:p w14:paraId="449098D3" w14:textId="77777777" w:rsidR="004A3CD3" w:rsidRDefault="006C0598">
            <w:pPr>
              <w:spacing w:after="0" w:line="259" w:lineRule="auto"/>
              <w:ind w:left="26" w:right="0" w:firstLine="0"/>
              <w:jc w:val="center"/>
            </w:pPr>
            <w:r>
              <w:t xml:space="preserve">1997 </w:t>
            </w:r>
          </w:p>
        </w:tc>
        <w:tc>
          <w:tcPr>
            <w:tcW w:w="7230" w:type="dxa"/>
            <w:tcBorders>
              <w:top w:val="single" w:sz="4" w:space="0" w:color="000000"/>
              <w:left w:val="single" w:sz="4" w:space="0" w:color="000000"/>
              <w:bottom w:val="single" w:sz="4" w:space="0" w:color="000000"/>
              <w:right w:val="single" w:sz="4" w:space="0" w:color="000000"/>
            </w:tcBorders>
            <w:vAlign w:val="center"/>
          </w:tcPr>
          <w:p w14:paraId="7A43ABFE" w14:textId="77777777" w:rsidR="004A3CD3" w:rsidRDefault="006C0598">
            <w:pPr>
              <w:spacing w:after="0" w:line="259" w:lineRule="auto"/>
              <w:ind w:left="108" w:right="0" w:firstLine="0"/>
              <w:jc w:val="left"/>
            </w:pPr>
            <w:r>
              <w:t xml:space="preserve">ICJ, Gabcikovo judgment, 25 Sept. 1997 </w:t>
            </w:r>
          </w:p>
        </w:tc>
      </w:tr>
      <w:tr w:rsidR="00E933CB" w14:paraId="45E7D3AC"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19C85484" w14:textId="77777777" w:rsidR="004A3CD3" w:rsidRDefault="006C0598">
            <w:pPr>
              <w:spacing w:after="0" w:line="259" w:lineRule="auto"/>
              <w:ind w:left="137" w:right="0" w:firstLine="0"/>
              <w:jc w:val="left"/>
            </w:pPr>
            <w:r>
              <w:rPr>
                <w:rFonts w:ascii="Century Gothic" w:eastAsia="Century Gothic" w:hAnsi="Century Gothic" w:cs="Century Gothic"/>
                <w:b/>
                <w:sz w:val="20"/>
              </w:rPr>
              <w:t xml:space="preserve">O.2 </w:t>
            </w:r>
          </w:p>
        </w:tc>
        <w:tc>
          <w:tcPr>
            <w:tcW w:w="1277" w:type="dxa"/>
            <w:tcBorders>
              <w:top w:val="single" w:sz="4" w:space="0" w:color="000000"/>
              <w:left w:val="single" w:sz="4" w:space="0" w:color="000000"/>
              <w:bottom w:val="single" w:sz="4" w:space="0" w:color="000000"/>
              <w:right w:val="single" w:sz="4" w:space="0" w:color="000000"/>
            </w:tcBorders>
          </w:tcPr>
          <w:p w14:paraId="355F11A3" w14:textId="77777777" w:rsidR="004A3CD3" w:rsidRDefault="006C0598">
            <w:pPr>
              <w:spacing w:after="0" w:line="259" w:lineRule="auto"/>
              <w:ind w:left="26" w:right="0" w:firstLine="0"/>
              <w:jc w:val="center"/>
            </w:pPr>
            <w:r>
              <w:t xml:space="preserve">2007 </w:t>
            </w:r>
          </w:p>
        </w:tc>
        <w:tc>
          <w:tcPr>
            <w:tcW w:w="7230" w:type="dxa"/>
            <w:tcBorders>
              <w:top w:val="single" w:sz="4" w:space="0" w:color="000000"/>
              <w:left w:val="single" w:sz="4" w:space="0" w:color="000000"/>
              <w:bottom w:val="single" w:sz="4" w:space="0" w:color="000000"/>
              <w:right w:val="single" w:sz="4" w:space="0" w:color="000000"/>
            </w:tcBorders>
            <w:vAlign w:val="center"/>
          </w:tcPr>
          <w:p w14:paraId="1B347136" w14:textId="77777777" w:rsidR="004A3CD3" w:rsidRDefault="006C0598">
            <w:pPr>
              <w:spacing w:after="0" w:line="259" w:lineRule="auto"/>
              <w:ind w:left="108" w:right="0" w:firstLine="0"/>
            </w:pPr>
            <w:r>
              <w:t xml:space="preserve">Supreme Court of the United States, Massachusetts et al. v. Environmental Protection Agency et al. </w:t>
            </w:r>
          </w:p>
        </w:tc>
      </w:tr>
      <w:tr w:rsidR="00E933CB" w14:paraId="427BBF85"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69B04A05" w14:textId="77777777" w:rsidR="004A3CD3" w:rsidRDefault="006C0598">
            <w:pPr>
              <w:spacing w:after="0" w:line="259" w:lineRule="auto"/>
              <w:ind w:left="137" w:right="0" w:firstLine="0"/>
              <w:jc w:val="left"/>
            </w:pPr>
            <w:r>
              <w:rPr>
                <w:rFonts w:ascii="Century Gothic" w:eastAsia="Century Gothic" w:hAnsi="Century Gothic" w:cs="Century Gothic"/>
                <w:b/>
                <w:sz w:val="20"/>
              </w:rPr>
              <w:t xml:space="preserve">O.3 </w:t>
            </w:r>
          </w:p>
        </w:tc>
        <w:tc>
          <w:tcPr>
            <w:tcW w:w="1277" w:type="dxa"/>
            <w:tcBorders>
              <w:top w:val="single" w:sz="4" w:space="0" w:color="000000"/>
              <w:left w:val="single" w:sz="4" w:space="0" w:color="000000"/>
              <w:bottom w:val="single" w:sz="4" w:space="0" w:color="000000"/>
              <w:right w:val="single" w:sz="4" w:space="0" w:color="000000"/>
            </w:tcBorders>
          </w:tcPr>
          <w:p w14:paraId="2B14882C" w14:textId="77777777" w:rsidR="004A3CD3" w:rsidRDefault="006C0598">
            <w:pPr>
              <w:spacing w:after="0" w:line="259" w:lineRule="auto"/>
              <w:ind w:left="26" w:right="0" w:firstLine="0"/>
              <w:jc w:val="center"/>
            </w:pPr>
            <w:r>
              <w:t xml:space="preserve">2015 </w:t>
            </w:r>
          </w:p>
        </w:tc>
        <w:tc>
          <w:tcPr>
            <w:tcW w:w="7230" w:type="dxa"/>
            <w:tcBorders>
              <w:top w:val="single" w:sz="4" w:space="0" w:color="000000"/>
              <w:left w:val="single" w:sz="4" w:space="0" w:color="000000"/>
              <w:bottom w:val="single" w:sz="4" w:space="0" w:color="000000"/>
              <w:right w:val="single" w:sz="4" w:space="0" w:color="000000"/>
            </w:tcBorders>
            <w:vAlign w:val="center"/>
          </w:tcPr>
          <w:p w14:paraId="4DB8B81B" w14:textId="77777777" w:rsidR="004A3CD3" w:rsidRDefault="006C0598">
            <w:pPr>
              <w:spacing w:after="0" w:line="259" w:lineRule="auto"/>
              <w:ind w:left="108" w:right="0" w:firstLine="0"/>
            </w:pPr>
            <w:r>
              <w:t xml:space="preserve">Rechtbank Den Haag 24 juni 2015, Stichting Urgenda t. Staat der Nederlanden Cited as "Rechtbank Den Haag 2015 (Urgenda)" </w:t>
            </w:r>
          </w:p>
        </w:tc>
      </w:tr>
      <w:tr w:rsidR="00E933CB" w14:paraId="6E1CF572" w14:textId="77777777">
        <w:trPr>
          <w:trHeight w:val="519"/>
        </w:trPr>
        <w:tc>
          <w:tcPr>
            <w:tcW w:w="674" w:type="dxa"/>
            <w:tcBorders>
              <w:top w:val="single" w:sz="4" w:space="0" w:color="000000"/>
              <w:left w:val="single" w:sz="4" w:space="0" w:color="000000"/>
              <w:bottom w:val="single" w:sz="4" w:space="0" w:color="000000"/>
              <w:right w:val="single" w:sz="4" w:space="0" w:color="000000"/>
            </w:tcBorders>
          </w:tcPr>
          <w:p w14:paraId="206F37BF" w14:textId="77777777" w:rsidR="004A3CD3" w:rsidRDefault="006C0598">
            <w:pPr>
              <w:spacing w:after="0" w:line="259" w:lineRule="auto"/>
              <w:ind w:left="137" w:right="0" w:firstLine="0"/>
              <w:jc w:val="left"/>
            </w:pPr>
            <w:r>
              <w:rPr>
                <w:rFonts w:ascii="Century Gothic" w:eastAsia="Century Gothic" w:hAnsi="Century Gothic" w:cs="Century Gothic"/>
                <w:b/>
                <w:sz w:val="20"/>
              </w:rPr>
              <w:t xml:space="preserve">O.4 </w:t>
            </w:r>
          </w:p>
        </w:tc>
        <w:tc>
          <w:tcPr>
            <w:tcW w:w="1277" w:type="dxa"/>
            <w:tcBorders>
              <w:top w:val="single" w:sz="4" w:space="0" w:color="000000"/>
              <w:left w:val="single" w:sz="4" w:space="0" w:color="000000"/>
              <w:bottom w:val="single" w:sz="4" w:space="0" w:color="000000"/>
              <w:right w:val="single" w:sz="4" w:space="0" w:color="000000"/>
            </w:tcBorders>
          </w:tcPr>
          <w:p w14:paraId="65BA5979" w14:textId="77777777" w:rsidR="004A3CD3" w:rsidRDefault="006C0598">
            <w:pPr>
              <w:spacing w:after="0" w:line="259" w:lineRule="auto"/>
              <w:ind w:left="26" w:right="0" w:firstLine="0"/>
              <w:jc w:val="center"/>
            </w:pPr>
            <w:r>
              <w:t xml:space="preserve">2018 </w:t>
            </w:r>
          </w:p>
        </w:tc>
        <w:tc>
          <w:tcPr>
            <w:tcW w:w="7230" w:type="dxa"/>
            <w:tcBorders>
              <w:top w:val="single" w:sz="4" w:space="0" w:color="000000"/>
              <w:left w:val="single" w:sz="4" w:space="0" w:color="000000"/>
              <w:bottom w:val="single" w:sz="4" w:space="0" w:color="000000"/>
              <w:right w:val="single" w:sz="4" w:space="0" w:color="000000"/>
            </w:tcBorders>
            <w:vAlign w:val="center"/>
          </w:tcPr>
          <w:p w14:paraId="390774EA" w14:textId="77777777" w:rsidR="004A3CD3" w:rsidRDefault="006C0598">
            <w:pPr>
              <w:spacing w:after="0" w:line="259" w:lineRule="auto"/>
              <w:ind w:left="108" w:right="0" w:firstLine="0"/>
              <w:jc w:val="left"/>
            </w:pPr>
            <w:r>
              <w:t xml:space="preserve">Case T-330/18 Carvalho and Others v Parliament and Council, lodged on 23 May 2018 </w:t>
            </w:r>
          </w:p>
        </w:tc>
      </w:tr>
      <w:tr w:rsidR="00E933CB" w14:paraId="7989C6D1" w14:textId="77777777">
        <w:trPr>
          <w:trHeight w:val="1176"/>
        </w:trPr>
        <w:tc>
          <w:tcPr>
            <w:tcW w:w="674" w:type="dxa"/>
            <w:tcBorders>
              <w:top w:val="single" w:sz="4" w:space="0" w:color="000000"/>
              <w:left w:val="single" w:sz="4" w:space="0" w:color="000000"/>
              <w:bottom w:val="single" w:sz="4" w:space="0" w:color="000000"/>
              <w:right w:val="single" w:sz="4" w:space="0" w:color="000000"/>
            </w:tcBorders>
          </w:tcPr>
          <w:p w14:paraId="6800F858" w14:textId="77777777" w:rsidR="004A3CD3" w:rsidRDefault="006C0598">
            <w:pPr>
              <w:spacing w:after="0" w:line="259" w:lineRule="auto"/>
              <w:ind w:left="137" w:right="0" w:firstLine="0"/>
              <w:jc w:val="left"/>
            </w:pPr>
            <w:r>
              <w:rPr>
                <w:rFonts w:ascii="Century Gothic" w:eastAsia="Century Gothic" w:hAnsi="Century Gothic" w:cs="Century Gothic"/>
                <w:b/>
                <w:sz w:val="20"/>
              </w:rPr>
              <w:t xml:space="preserve">O.5 </w:t>
            </w:r>
          </w:p>
        </w:tc>
        <w:tc>
          <w:tcPr>
            <w:tcW w:w="1277" w:type="dxa"/>
            <w:tcBorders>
              <w:top w:val="single" w:sz="4" w:space="0" w:color="000000"/>
              <w:left w:val="single" w:sz="4" w:space="0" w:color="000000"/>
              <w:bottom w:val="single" w:sz="4" w:space="0" w:color="000000"/>
              <w:right w:val="single" w:sz="4" w:space="0" w:color="000000"/>
            </w:tcBorders>
          </w:tcPr>
          <w:p w14:paraId="08443166" w14:textId="77777777" w:rsidR="004A3CD3" w:rsidRDefault="006C0598">
            <w:pPr>
              <w:spacing w:after="0" w:line="259" w:lineRule="auto"/>
              <w:ind w:left="26" w:right="0" w:firstLine="0"/>
              <w:jc w:val="center"/>
            </w:pPr>
            <w:r>
              <w:t xml:space="preserve">2018 </w:t>
            </w:r>
          </w:p>
        </w:tc>
        <w:tc>
          <w:tcPr>
            <w:tcW w:w="7230" w:type="dxa"/>
            <w:tcBorders>
              <w:top w:val="single" w:sz="4" w:space="0" w:color="000000"/>
              <w:left w:val="single" w:sz="4" w:space="0" w:color="000000"/>
              <w:bottom w:val="single" w:sz="4" w:space="0" w:color="000000"/>
              <w:right w:val="single" w:sz="4" w:space="0" w:color="000000"/>
            </w:tcBorders>
            <w:vAlign w:val="center"/>
          </w:tcPr>
          <w:p w14:paraId="3B27B8F9" w14:textId="77777777" w:rsidR="004A3CD3" w:rsidRDefault="006C0598">
            <w:pPr>
              <w:spacing w:after="120" w:line="239" w:lineRule="auto"/>
              <w:ind w:left="108" w:right="0" w:firstLine="0"/>
            </w:pPr>
            <w:r>
              <w:t xml:space="preserve">Gerechtshof Den Haag 9 oktober 2018, Staat der Nederlanden t. Stichting Urgenda  </w:t>
            </w:r>
          </w:p>
          <w:p w14:paraId="7DEFF4A8" w14:textId="77777777" w:rsidR="004A3CD3" w:rsidRDefault="006C0598">
            <w:pPr>
              <w:spacing w:after="0" w:line="259" w:lineRule="auto"/>
              <w:ind w:left="108" w:right="0" w:firstLine="0"/>
              <w:jc w:val="left"/>
            </w:pPr>
            <w:r>
              <w:t xml:space="preserve">Cited as "Gerechtshof Den Haag 2018 (Urgenda)" </w:t>
            </w:r>
          </w:p>
        </w:tc>
      </w:tr>
      <w:tr w:rsidR="00E933CB" w14:paraId="0778BE49"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359D2E72" w14:textId="77777777" w:rsidR="004A3CD3" w:rsidRDefault="006C0598">
            <w:pPr>
              <w:spacing w:after="0" w:line="259" w:lineRule="auto"/>
              <w:ind w:left="137" w:right="0" w:firstLine="0"/>
              <w:jc w:val="left"/>
            </w:pPr>
            <w:r>
              <w:rPr>
                <w:rFonts w:ascii="Century Gothic" w:eastAsia="Century Gothic" w:hAnsi="Century Gothic" w:cs="Century Gothic"/>
                <w:b/>
                <w:sz w:val="20"/>
              </w:rPr>
              <w:t xml:space="preserve">O.6 </w:t>
            </w:r>
          </w:p>
        </w:tc>
        <w:tc>
          <w:tcPr>
            <w:tcW w:w="1277" w:type="dxa"/>
            <w:tcBorders>
              <w:top w:val="single" w:sz="4" w:space="0" w:color="000000"/>
              <w:left w:val="single" w:sz="4" w:space="0" w:color="000000"/>
              <w:bottom w:val="single" w:sz="4" w:space="0" w:color="000000"/>
              <w:right w:val="single" w:sz="4" w:space="0" w:color="000000"/>
            </w:tcBorders>
          </w:tcPr>
          <w:p w14:paraId="6A0BA241" w14:textId="77777777" w:rsidR="004A3CD3" w:rsidRDefault="006C0598">
            <w:pPr>
              <w:spacing w:after="0" w:line="259" w:lineRule="auto"/>
              <w:ind w:left="26" w:right="0" w:firstLine="0"/>
              <w:jc w:val="center"/>
            </w:pPr>
            <w:r>
              <w:t xml:space="preserve">2018 </w:t>
            </w:r>
          </w:p>
        </w:tc>
        <w:tc>
          <w:tcPr>
            <w:tcW w:w="7230" w:type="dxa"/>
            <w:tcBorders>
              <w:top w:val="single" w:sz="4" w:space="0" w:color="000000"/>
              <w:left w:val="single" w:sz="4" w:space="0" w:color="000000"/>
              <w:bottom w:val="single" w:sz="4" w:space="0" w:color="000000"/>
              <w:right w:val="single" w:sz="4" w:space="0" w:color="000000"/>
            </w:tcBorders>
            <w:vAlign w:val="center"/>
          </w:tcPr>
          <w:p w14:paraId="5B5C8575" w14:textId="77777777" w:rsidR="004A3CD3" w:rsidRDefault="006C0598">
            <w:pPr>
              <w:spacing w:after="0" w:line="259" w:lineRule="auto"/>
              <w:ind w:left="108" w:right="0" w:firstLine="0"/>
              <w:jc w:val="left"/>
            </w:pPr>
            <w:r>
              <w:t xml:space="preserve">Judgment of the Supreme Court of Colombia of 5 April 2018 </w:t>
            </w:r>
          </w:p>
        </w:tc>
      </w:tr>
      <w:tr w:rsidR="00E933CB" w14:paraId="68C1F56A"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3E28B5C2" w14:textId="77777777" w:rsidR="004A3CD3" w:rsidRDefault="006C0598">
            <w:pPr>
              <w:spacing w:after="0" w:line="259" w:lineRule="auto"/>
              <w:ind w:left="137" w:right="0" w:firstLine="0"/>
              <w:jc w:val="left"/>
            </w:pPr>
            <w:r>
              <w:rPr>
                <w:rFonts w:ascii="Century Gothic" w:eastAsia="Century Gothic" w:hAnsi="Century Gothic" w:cs="Century Gothic"/>
                <w:b/>
                <w:sz w:val="20"/>
              </w:rPr>
              <w:t xml:space="preserve">O.7 </w:t>
            </w:r>
          </w:p>
        </w:tc>
        <w:tc>
          <w:tcPr>
            <w:tcW w:w="1277" w:type="dxa"/>
            <w:tcBorders>
              <w:top w:val="single" w:sz="4" w:space="0" w:color="000000"/>
              <w:left w:val="single" w:sz="4" w:space="0" w:color="000000"/>
              <w:bottom w:val="single" w:sz="4" w:space="0" w:color="000000"/>
              <w:right w:val="single" w:sz="4" w:space="0" w:color="000000"/>
            </w:tcBorders>
          </w:tcPr>
          <w:p w14:paraId="3AD1B901" w14:textId="77777777" w:rsidR="004A3CD3" w:rsidRDefault="006C0598">
            <w:pPr>
              <w:spacing w:after="0" w:line="259" w:lineRule="auto"/>
              <w:ind w:left="26" w:right="0" w:firstLine="0"/>
              <w:jc w:val="center"/>
            </w:pPr>
            <w:r>
              <w:t xml:space="preserve">2018 </w:t>
            </w:r>
          </w:p>
        </w:tc>
        <w:tc>
          <w:tcPr>
            <w:tcW w:w="7230" w:type="dxa"/>
            <w:tcBorders>
              <w:top w:val="single" w:sz="4" w:space="0" w:color="000000"/>
              <w:left w:val="single" w:sz="4" w:space="0" w:color="000000"/>
              <w:bottom w:val="single" w:sz="4" w:space="0" w:color="000000"/>
              <w:right w:val="single" w:sz="4" w:space="0" w:color="000000"/>
            </w:tcBorders>
            <w:vAlign w:val="center"/>
          </w:tcPr>
          <w:p w14:paraId="1AB339ED" w14:textId="77777777" w:rsidR="004A3CD3" w:rsidRDefault="006C0598">
            <w:pPr>
              <w:spacing w:after="0" w:line="259" w:lineRule="auto"/>
              <w:ind w:left="108" w:right="0" w:firstLine="0"/>
            </w:pPr>
            <w:r>
              <w:t xml:space="preserve">Lahore High Court Green Bench, Ashgar Leghari v. Federation of Pakistan, 25 January 2018 </w:t>
            </w:r>
          </w:p>
        </w:tc>
      </w:tr>
      <w:tr w:rsidR="00E933CB" w14:paraId="5EDBBD32"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73F0C5D0" w14:textId="77777777" w:rsidR="004A3CD3" w:rsidRDefault="006C0598">
            <w:pPr>
              <w:spacing w:after="0" w:line="259" w:lineRule="auto"/>
              <w:ind w:left="137" w:right="0" w:firstLine="0"/>
              <w:jc w:val="left"/>
            </w:pPr>
            <w:r>
              <w:rPr>
                <w:rFonts w:ascii="Century Gothic" w:eastAsia="Century Gothic" w:hAnsi="Century Gothic" w:cs="Century Gothic"/>
                <w:b/>
                <w:sz w:val="20"/>
              </w:rPr>
              <w:lastRenderedPageBreak/>
              <w:t xml:space="preserve">O.8 </w:t>
            </w:r>
          </w:p>
        </w:tc>
        <w:tc>
          <w:tcPr>
            <w:tcW w:w="1277" w:type="dxa"/>
            <w:tcBorders>
              <w:top w:val="single" w:sz="4" w:space="0" w:color="000000"/>
              <w:left w:val="single" w:sz="4" w:space="0" w:color="000000"/>
              <w:bottom w:val="single" w:sz="4" w:space="0" w:color="000000"/>
              <w:right w:val="single" w:sz="4" w:space="0" w:color="000000"/>
            </w:tcBorders>
          </w:tcPr>
          <w:p w14:paraId="76E1A263" w14:textId="77777777" w:rsidR="004A3CD3" w:rsidRDefault="006C0598">
            <w:pPr>
              <w:spacing w:after="0" w:line="259" w:lineRule="auto"/>
              <w:ind w:left="26" w:right="0"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491FAA79" w14:textId="77777777" w:rsidR="004A3CD3" w:rsidRDefault="006C0598">
            <w:pPr>
              <w:spacing w:after="0" w:line="259" w:lineRule="auto"/>
              <w:ind w:left="168" w:right="0" w:firstLine="0"/>
            </w:pPr>
            <w:r>
              <w:t xml:space="preserve">Land and Environment Court New South Wales, 8 February 2019, Gloucester Resourced Limited v. Minister for Planning </w:t>
            </w:r>
          </w:p>
        </w:tc>
      </w:tr>
      <w:tr w:rsidR="00E933CB" w14:paraId="17A2639E" w14:textId="77777777">
        <w:trPr>
          <w:trHeight w:val="1176"/>
        </w:trPr>
        <w:tc>
          <w:tcPr>
            <w:tcW w:w="674" w:type="dxa"/>
            <w:tcBorders>
              <w:top w:val="single" w:sz="4" w:space="0" w:color="000000"/>
              <w:left w:val="single" w:sz="4" w:space="0" w:color="000000"/>
              <w:bottom w:val="single" w:sz="4" w:space="0" w:color="000000"/>
              <w:right w:val="single" w:sz="4" w:space="0" w:color="000000"/>
            </w:tcBorders>
          </w:tcPr>
          <w:p w14:paraId="2EF60DD1" w14:textId="77777777" w:rsidR="004A3CD3" w:rsidRDefault="006C0598">
            <w:pPr>
              <w:spacing w:after="0" w:line="259" w:lineRule="auto"/>
              <w:ind w:left="137" w:right="0" w:firstLine="0"/>
              <w:jc w:val="left"/>
            </w:pPr>
            <w:r>
              <w:rPr>
                <w:rFonts w:ascii="Century Gothic" w:eastAsia="Century Gothic" w:hAnsi="Century Gothic" w:cs="Century Gothic"/>
                <w:b/>
                <w:sz w:val="20"/>
              </w:rPr>
              <w:t xml:space="preserve">O.9 </w:t>
            </w:r>
          </w:p>
        </w:tc>
        <w:tc>
          <w:tcPr>
            <w:tcW w:w="1277" w:type="dxa"/>
            <w:tcBorders>
              <w:top w:val="single" w:sz="4" w:space="0" w:color="000000"/>
              <w:left w:val="single" w:sz="4" w:space="0" w:color="000000"/>
              <w:bottom w:val="single" w:sz="4" w:space="0" w:color="000000"/>
              <w:right w:val="single" w:sz="4" w:space="0" w:color="000000"/>
            </w:tcBorders>
          </w:tcPr>
          <w:p w14:paraId="307CDEEC" w14:textId="77777777" w:rsidR="004A3CD3" w:rsidRDefault="006C0598">
            <w:pPr>
              <w:spacing w:after="0" w:line="259" w:lineRule="auto"/>
              <w:ind w:left="26" w:right="0"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4180CEF6" w14:textId="77777777" w:rsidR="004A3CD3" w:rsidRDefault="006C0598">
            <w:pPr>
              <w:spacing w:after="120" w:line="239" w:lineRule="auto"/>
              <w:ind w:left="108" w:right="0" w:firstLine="0"/>
            </w:pPr>
            <w:r>
              <w:t xml:space="preserve">Parket bij de Hoge Raad der Nederlanden 13 september 2019, Conclusie van de Procureur-Generaal, Staat der Nederlanden t. Stichting Urgenda  </w:t>
            </w:r>
          </w:p>
          <w:p w14:paraId="05909B4C" w14:textId="77777777" w:rsidR="004A3CD3" w:rsidRDefault="006C0598">
            <w:pPr>
              <w:spacing w:after="0" w:line="259" w:lineRule="auto"/>
              <w:ind w:left="108" w:right="0" w:firstLine="0"/>
              <w:jc w:val="left"/>
            </w:pPr>
            <w:r>
              <w:t xml:space="preserve">Cited as "Conclusie Procureur-Generaal bij de Hoge Raad 2019 (Urgenda)" </w:t>
            </w:r>
          </w:p>
        </w:tc>
      </w:tr>
      <w:tr w:rsidR="00E933CB" w14:paraId="2167DB0A" w14:textId="77777777">
        <w:trPr>
          <w:trHeight w:val="1176"/>
        </w:trPr>
        <w:tc>
          <w:tcPr>
            <w:tcW w:w="674" w:type="dxa"/>
            <w:tcBorders>
              <w:top w:val="single" w:sz="4" w:space="0" w:color="000000"/>
              <w:left w:val="single" w:sz="4" w:space="0" w:color="000000"/>
              <w:bottom w:val="single" w:sz="4" w:space="0" w:color="000000"/>
              <w:right w:val="single" w:sz="4" w:space="0" w:color="000000"/>
            </w:tcBorders>
          </w:tcPr>
          <w:p w14:paraId="4BD44FEE" w14:textId="77777777" w:rsidR="004A3CD3" w:rsidRDefault="006C0598">
            <w:pPr>
              <w:spacing w:after="0" w:line="259" w:lineRule="auto"/>
              <w:ind w:left="108" w:right="0" w:firstLine="0"/>
              <w:jc w:val="left"/>
            </w:pPr>
            <w:r>
              <w:rPr>
                <w:rFonts w:ascii="Century Gothic" w:eastAsia="Century Gothic" w:hAnsi="Century Gothic" w:cs="Century Gothic"/>
                <w:b/>
                <w:sz w:val="20"/>
              </w:rPr>
              <w:t xml:space="preserve">O.10 </w:t>
            </w:r>
          </w:p>
        </w:tc>
        <w:tc>
          <w:tcPr>
            <w:tcW w:w="1277" w:type="dxa"/>
            <w:tcBorders>
              <w:top w:val="single" w:sz="4" w:space="0" w:color="000000"/>
              <w:left w:val="single" w:sz="4" w:space="0" w:color="000000"/>
              <w:bottom w:val="single" w:sz="4" w:space="0" w:color="000000"/>
              <w:right w:val="single" w:sz="4" w:space="0" w:color="000000"/>
            </w:tcBorders>
          </w:tcPr>
          <w:p w14:paraId="2B0B4BC2" w14:textId="77777777" w:rsidR="004A3CD3" w:rsidRDefault="006C0598">
            <w:pPr>
              <w:spacing w:after="0" w:line="259" w:lineRule="auto"/>
              <w:ind w:left="26" w:right="0" w:firstLine="0"/>
              <w:jc w:val="center"/>
            </w:pPr>
            <w:r>
              <w:t xml:space="preserve">2018 </w:t>
            </w:r>
          </w:p>
        </w:tc>
        <w:tc>
          <w:tcPr>
            <w:tcW w:w="7230" w:type="dxa"/>
            <w:tcBorders>
              <w:top w:val="single" w:sz="4" w:space="0" w:color="000000"/>
              <w:left w:val="single" w:sz="4" w:space="0" w:color="000000"/>
              <w:bottom w:val="single" w:sz="4" w:space="0" w:color="000000"/>
              <w:right w:val="single" w:sz="4" w:space="0" w:color="000000"/>
            </w:tcBorders>
            <w:vAlign w:val="center"/>
          </w:tcPr>
          <w:p w14:paraId="6B661356" w14:textId="77777777" w:rsidR="004A3CD3" w:rsidRDefault="006C0598">
            <w:pPr>
              <w:spacing w:after="0" w:line="259" w:lineRule="auto"/>
              <w:ind w:left="108" w:right="0" w:firstLine="0"/>
              <w:jc w:val="left"/>
            </w:pPr>
            <w:r>
              <w:t xml:space="preserve">United States Court of Appeals for the Ninth Circuit, Juliana et al. v. USA, No. </w:t>
            </w:r>
          </w:p>
          <w:p w14:paraId="4600BD7B" w14:textId="77777777" w:rsidR="004A3CD3" w:rsidRDefault="006C0598">
            <w:pPr>
              <w:spacing w:after="104" w:line="259" w:lineRule="auto"/>
              <w:ind w:left="108" w:right="0" w:firstLine="0"/>
              <w:jc w:val="left"/>
            </w:pPr>
            <w:r>
              <w:t xml:space="preserve">17-71692 D.C. No. 6:15-cv-01517- TC-AA Opinion, March 7, 2018 </w:t>
            </w:r>
          </w:p>
          <w:p w14:paraId="2571FF9C" w14:textId="77777777" w:rsidR="004A3CD3" w:rsidRDefault="006C0598">
            <w:pPr>
              <w:spacing w:after="0" w:line="259" w:lineRule="auto"/>
              <w:ind w:left="108" w:right="0" w:firstLine="0"/>
              <w:jc w:val="left"/>
            </w:pPr>
            <w:r>
              <w:t>Quoted as "US Court of Appeals for the 9</w:t>
            </w:r>
            <w:r>
              <w:rPr>
                <w:vertAlign w:val="superscript"/>
              </w:rPr>
              <w:t>th</w:t>
            </w:r>
            <w:r>
              <w:t xml:space="preserve">Circuit, </w:t>
            </w:r>
            <w:r>
              <w:rPr>
                <w:i/>
              </w:rPr>
              <w:t xml:space="preserve">Juliana." </w:t>
            </w:r>
          </w:p>
        </w:tc>
      </w:tr>
      <w:tr w:rsidR="00E933CB" w14:paraId="0F641879"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284AE088" w14:textId="77777777" w:rsidR="004A3CD3" w:rsidRDefault="006C0598">
            <w:pPr>
              <w:spacing w:after="0" w:line="259" w:lineRule="auto"/>
              <w:ind w:left="108" w:right="0" w:firstLine="0"/>
              <w:jc w:val="left"/>
            </w:pPr>
            <w:r>
              <w:rPr>
                <w:rFonts w:ascii="Century Gothic" w:eastAsia="Century Gothic" w:hAnsi="Century Gothic" w:cs="Century Gothic"/>
                <w:b/>
                <w:sz w:val="20"/>
              </w:rPr>
              <w:t xml:space="preserve">O.11 </w:t>
            </w:r>
          </w:p>
        </w:tc>
        <w:tc>
          <w:tcPr>
            <w:tcW w:w="1277" w:type="dxa"/>
            <w:tcBorders>
              <w:top w:val="single" w:sz="4" w:space="0" w:color="000000"/>
              <w:left w:val="single" w:sz="4" w:space="0" w:color="000000"/>
              <w:bottom w:val="single" w:sz="4" w:space="0" w:color="000000"/>
              <w:right w:val="single" w:sz="4" w:space="0" w:color="000000"/>
            </w:tcBorders>
          </w:tcPr>
          <w:p w14:paraId="5B948956" w14:textId="77777777" w:rsidR="004A3CD3" w:rsidRDefault="006C0598">
            <w:pPr>
              <w:spacing w:after="0" w:line="259" w:lineRule="auto"/>
              <w:ind w:left="26" w:right="0"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6C659077" w14:textId="77777777" w:rsidR="004A3CD3" w:rsidRDefault="006C0598">
            <w:pPr>
              <w:spacing w:after="0" w:line="259" w:lineRule="auto"/>
              <w:ind w:left="108" w:right="0" w:firstLine="0"/>
              <w:jc w:val="left"/>
            </w:pPr>
            <w:r>
              <w:t xml:space="preserve">French Court of Cassation, judgment n°643 of 5 April 2019 (18-17.442) </w:t>
            </w:r>
          </w:p>
        </w:tc>
      </w:tr>
      <w:tr w:rsidR="00E933CB" w14:paraId="692B788F" w14:textId="77777777">
        <w:trPr>
          <w:trHeight w:val="1176"/>
        </w:trPr>
        <w:tc>
          <w:tcPr>
            <w:tcW w:w="674" w:type="dxa"/>
            <w:tcBorders>
              <w:top w:val="single" w:sz="4" w:space="0" w:color="000000"/>
              <w:left w:val="single" w:sz="4" w:space="0" w:color="000000"/>
              <w:bottom w:val="single" w:sz="4" w:space="0" w:color="000000"/>
              <w:right w:val="single" w:sz="4" w:space="0" w:color="000000"/>
            </w:tcBorders>
          </w:tcPr>
          <w:p w14:paraId="0E0B9B86" w14:textId="77777777" w:rsidR="004A3CD3" w:rsidRDefault="006C0598">
            <w:pPr>
              <w:spacing w:after="0" w:line="259" w:lineRule="auto"/>
              <w:ind w:left="108" w:right="0" w:firstLine="0"/>
              <w:jc w:val="left"/>
            </w:pPr>
            <w:r>
              <w:rPr>
                <w:rFonts w:ascii="Century Gothic" w:eastAsia="Century Gothic" w:hAnsi="Century Gothic" w:cs="Century Gothic"/>
                <w:b/>
                <w:sz w:val="20"/>
              </w:rPr>
              <w:t xml:space="preserve">O.12 </w:t>
            </w:r>
          </w:p>
        </w:tc>
        <w:tc>
          <w:tcPr>
            <w:tcW w:w="1277" w:type="dxa"/>
            <w:tcBorders>
              <w:top w:val="single" w:sz="4" w:space="0" w:color="000000"/>
              <w:left w:val="single" w:sz="4" w:space="0" w:color="000000"/>
              <w:bottom w:val="single" w:sz="4" w:space="0" w:color="000000"/>
              <w:right w:val="single" w:sz="4" w:space="0" w:color="000000"/>
            </w:tcBorders>
          </w:tcPr>
          <w:p w14:paraId="6E5A14AE" w14:textId="77777777" w:rsidR="004A3CD3" w:rsidRDefault="006C0598">
            <w:pPr>
              <w:spacing w:after="0" w:line="259" w:lineRule="auto"/>
              <w:ind w:left="26" w:right="0"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10D84F79" w14:textId="77777777" w:rsidR="004A3CD3" w:rsidRDefault="006C0598">
            <w:pPr>
              <w:spacing w:after="120" w:line="239" w:lineRule="auto"/>
              <w:ind w:left="108" w:right="0" w:firstLine="0"/>
            </w:pPr>
            <w:r>
              <w:t xml:space="preserve">Hoge Raad Den Haag, 20 december 2019, Staat der Nederlanden t. Stichting Urgenda </w:t>
            </w:r>
          </w:p>
          <w:p w14:paraId="556D9CF6" w14:textId="77777777" w:rsidR="004A3CD3" w:rsidRDefault="006C0598">
            <w:pPr>
              <w:spacing w:after="0" w:line="259" w:lineRule="auto"/>
              <w:ind w:left="108" w:right="0" w:firstLine="0"/>
              <w:jc w:val="left"/>
            </w:pPr>
            <w:r>
              <w:t xml:space="preserve">Cited as "Hoge Raad Den Haag 2019 (Urgenda)." </w:t>
            </w:r>
          </w:p>
        </w:tc>
      </w:tr>
    </w:tbl>
    <w:p w14:paraId="43BCF511" w14:textId="77777777" w:rsidR="00E933CB" w:rsidRDefault="00825B93">
      <w:pPr>
        <w:spacing w:after="98" w:line="259" w:lineRule="auto"/>
        <w:ind w:left="0" w:right="9117" w:firstLine="0"/>
        <w:jc w:val="right"/>
      </w:pPr>
      <w:r>
        <w:rPr>
          <w:b/>
        </w:rPr>
        <w:t xml:space="preserve"> </w:t>
      </w:r>
    </w:p>
    <w:p w14:paraId="43127554" w14:textId="77777777" w:rsidR="00E933CB" w:rsidRDefault="00825B93">
      <w:pPr>
        <w:spacing w:after="98" w:line="259" w:lineRule="auto"/>
        <w:ind w:left="0" w:right="9117" w:firstLine="0"/>
        <w:jc w:val="right"/>
      </w:pPr>
      <w:r>
        <w:t xml:space="preserve"> </w:t>
      </w:r>
    </w:p>
    <w:p w14:paraId="362BDD6D" w14:textId="77777777" w:rsidR="00E933CB" w:rsidRDefault="00825B93">
      <w:pPr>
        <w:spacing w:after="95" w:line="259" w:lineRule="auto"/>
        <w:ind w:left="0" w:right="9117" w:firstLine="0"/>
        <w:jc w:val="right"/>
      </w:pPr>
      <w:r>
        <w:t xml:space="preserve"> </w:t>
      </w:r>
    </w:p>
    <w:p w14:paraId="4BDA6421" w14:textId="77777777" w:rsidR="00E933CB" w:rsidRDefault="00825B93">
      <w:pPr>
        <w:spacing w:after="0" w:line="259" w:lineRule="auto"/>
        <w:ind w:left="0" w:right="9117" w:firstLine="0"/>
        <w:jc w:val="right"/>
      </w:pPr>
      <w:r>
        <w:t xml:space="preserve"> </w:t>
      </w:r>
    </w:p>
    <w:p w14:paraId="14403569" w14:textId="77777777" w:rsidR="00E933CB" w:rsidRDefault="00E933CB">
      <w:pPr>
        <w:spacing w:after="0" w:line="259" w:lineRule="auto"/>
        <w:ind w:left="-1097" w:right="547" w:firstLine="0"/>
        <w:jc w:val="left"/>
      </w:pPr>
    </w:p>
    <w:tbl>
      <w:tblPr>
        <w:tblStyle w:val="TableGrid"/>
        <w:tblW w:w="9182" w:type="dxa"/>
        <w:tblInd w:w="468" w:type="dxa"/>
        <w:tblCellMar>
          <w:top w:w="48" w:type="dxa"/>
          <w:left w:w="108" w:type="dxa"/>
          <w:right w:w="58" w:type="dxa"/>
        </w:tblCellMar>
        <w:tblLook w:val="04A0" w:firstRow="1" w:lastRow="0" w:firstColumn="1" w:lastColumn="0" w:noHBand="0" w:noVBand="1"/>
      </w:tblPr>
      <w:tblGrid>
        <w:gridCol w:w="674"/>
        <w:gridCol w:w="1277"/>
        <w:gridCol w:w="7231"/>
      </w:tblGrid>
      <w:tr w:rsidR="00E933CB" w14:paraId="06102ED8" w14:textId="77777777">
        <w:trPr>
          <w:trHeight w:val="572"/>
        </w:trPr>
        <w:tc>
          <w:tcPr>
            <w:tcW w:w="9182" w:type="dxa"/>
            <w:gridSpan w:val="3"/>
            <w:tcBorders>
              <w:top w:val="single" w:sz="4" w:space="0" w:color="000000"/>
              <w:left w:val="single" w:sz="4" w:space="0" w:color="000000"/>
              <w:bottom w:val="single" w:sz="4" w:space="0" w:color="000000"/>
              <w:right w:val="single" w:sz="4" w:space="0" w:color="000000"/>
            </w:tcBorders>
          </w:tcPr>
          <w:p w14:paraId="7E4DB470" w14:textId="77777777" w:rsidR="004A3CD3" w:rsidRDefault="006C0598">
            <w:pPr>
              <w:spacing w:after="0" w:line="259" w:lineRule="auto"/>
              <w:ind w:left="0" w:right="78" w:firstLine="0"/>
              <w:jc w:val="center"/>
            </w:pPr>
            <w:r>
              <w:rPr>
                <w:b/>
                <w:sz w:val="40"/>
              </w:rPr>
              <w:t xml:space="preserve">P. </w:t>
            </w:r>
            <w:r>
              <w:rPr>
                <w:b/>
                <w:sz w:val="40"/>
                <w:u w:val="single" w:color="000000"/>
              </w:rPr>
              <w:t xml:space="preserve">Miscellaneous </w:t>
            </w:r>
          </w:p>
        </w:tc>
      </w:tr>
      <w:tr w:rsidR="00E933CB" w14:paraId="33BAE0A3"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35E1B537" w14:textId="77777777" w:rsidR="00E933CB" w:rsidRDefault="00825B93">
            <w:pPr>
              <w:spacing w:after="0" w:line="259" w:lineRule="auto"/>
              <w:ind w:left="0" w:right="65"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EF1C0EB" w14:textId="77777777" w:rsidR="004A3CD3" w:rsidRDefault="006C0598">
            <w:pPr>
              <w:spacing w:after="0" w:line="259" w:lineRule="auto"/>
              <w:ind w:left="0" w:right="85" w:firstLine="0"/>
              <w:jc w:val="center"/>
            </w:pPr>
            <w:r>
              <w:rPr>
                <w:b/>
              </w:rPr>
              <w:t xml:space="preserve">Date </w:t>
            </w:r>
          </w:p>
        </w:tc>
        <w:tc>
          <w:tcPr>
            <w:tcW w:w="7230" w:type="dxa"/>
            <w:tcBorders>
              <w:top w:val="single" w:sz="4" w:space="0" w:color="000000"/>
              <w:left w:val="single" w:sz="4" w:space="0" w:color="000000"/>
              <w:bottom w:val="single" w:sz="4" w:space="0" w:color="000000"/>
              <w:right w:val="single" w:sz="4" w:space="0" w:color="000000"/>
            </w:tcBorders>
          </w:tcPr>
          <w:p w14:paraId="0B82CB38" w14:textId="77777777" w:rsidR="004A3CD3" w:rsidRDefault="006C0598">
            <w:pPr>
              <w:spacing w:after="0" w:line="259" w:lineRule="auto"/>
              <w:ind w:left="0" w:right="0" w:firstLine="0"/>
              <w:jc w:val="left"/>
            </w:pPr>
            <w:r>
              <w:rPr>
                <w:b/>
              </w:rPr>
              <w:t xml:space="preserve">Description </w:t>
            </w:r>
          </w:p>
        </w:tc>
      </w:tr>
      <w:tr w:rsidR="00E933CB" w14:paraId="5FDA637B"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23489705" w14:textId="77777777" w:rsidR="004A3CD3" w:rsidRDefault="006C0598">
            <w:pPr>
              <w:spacing w:after="0" w:line="259" w:lineRule="auto"/>
              <w:ind w:left="55" w:right="0" w:firstLine="0"/>
              <w:jc w:val="left"/>
            </w:pPr>
            <w:r>
              <w:rPr>
                <w:rFonts w:ascii="Century Gothic" w:eastAsia="Century Gothic" w:hAnsi="Century Gothic" w:cs="Century Gothic"/>
                <w:b/>
                <w:sz w:val="20"/>
              </w:rPr>
              <w:t xml:space="preserve">P.1 </w:t>
            </w:r>
          </w:p>
        </w:tc>
        <w:tc>
          <w:tcPr>
            <w:tcW w:w="1277" w:type="dxa"/>
            <w:tcBorders>
              <w:top w:val="single" w:sz="4" w:space="0" w:color="000000"/>
              <w:left w:val="single" w:sz="4" w:space="0" w:color="000000"/>
              <w:bottom w:val="single" w:sz="4" w:space="0" w:color="000000"/>
              <w:right w:val="single" w:sz="4" w:space="0" w:color="000000"/>
            </w:tcBorders>
          </w:tcPr>
          <w:p w14:paraId="32D6716F" w14:textId="77777777" w:rsidR="004A3CD3" w:rsidRDefault="006C0598">
            <w:pPr>
              <w:spacing w:after="0" w:line="259" w:lineRule="auto"/>
              <w:ind w:left="0" w:right="82" w:firstLine="0"/>
              <w:jc w:val="center"/>
            </w:pPr>
            <w:r>
              <w:t xml:space="preserve">1983 </w:t>
            </w:r>
          </w:p>
        </w:tc>
        <w:tc>
          <w:tcPr>
            <w:tcW w:w="7230" w:type="dxa"/>
            <w:tcBorders>
              <w:top w:val="single" w:sz="4" w:space="0" w:color="000000"/>
              <w:left w:val="single" w:sz="4" w:space="0" w:color="000000"/>
              <w:bottom w:val="single" w:sz="4" w:space="0" w:color="000000"/>
              <w:right w:val="single" w:sz="4" w:space="0" w:color="000000"/>
            </w:tcBorders>
            <w:vAlign w:val="center"/>
          </w:tcPr>
          <w:p w14:paraId="67CA8843" w14:textId="77777777" w:rsidR="004A3CD3" w:rsidRDefault="006C0598">
            <w:pPr>
              <w:spacing w:after="0" w:line="259" w:lineRule="auto"/>
              <w:ind w:left="0" w:right="0" w:firstLine="0"/>
            </w:pPr>
            <w:r>
              <w:t xml:space="preserve">UN Documents, </w:t>
            </w:r>
            <w:r>
              <w:rPr>
                <w:i/>
              </w:rPr>
              <w:t>Our Common Future, Gathering a Body of Global Agreements</w:t>
            </w:r>
            <w:r>
              <w:t xml:space="preserve">, 1983 </w:t>
            </w:r>
          </w:p>
        </w:tc>
      </w:tr>
      <w:tr w:rsidR="00E933CB" w14:paraId="3058A616" w14:textId="77777777">
        <w:trPr>
          <w:trHeight w:val="1056"/>
        </w:trPr>
        <w:tc>
          <w:tcPr>
            <w:tcW w:w="674" w:type="dxa"/>
            <w:tcBorders>
              <w:top w:val="single" w:sz="4" w:space="0" w:color="000000"/>
              <w:left w:val="single" w:sz="4" w:space="0" w:color="000000"/>
              <w:bottom w:val="single" w:sz="4" w:space="0" w:color="000000"/>
              <w:right w:val="single" w:sz="4" w:space="0" w:color="000000"/>
            </w:tcBorders>
          </w:tcPr>
          <w:p w14:paraId="58274A29" w14:textId="77777777" w:rsidR="004A3CD3" w:rsidRDefault="006C0598">
            <w:pPr>
              <w:spacing w:after="0" w:line="259" w:lineRule="auto"/>
              <w:ind w:left="55" w:right="0" w:firstLine="0"/>
              <w:jc w:val="left"/>
            </w:pPr>
            <w:r>
              <w:rPr>
                <w:rFonts w:ascii="Century Gothic" w:eastAsia="Century Gothic" w:hAnsi="Century Gothic" w:cs="Century Gothic"/>
                <w:b/>
                <w:sz w:val="20"/>
              </w:rPr>
              <w:t xml:space="preserve">P.2 </w:t>
            </w:r>
          </w:p>
        </w:tc>
        <w:tc>
          <w:tcPr>
            <w:tcW w:w="1277" w:type="dxa"/>
            <w:tcBorders>
              <w:top w:val="single" w:sz="4" w:space="0" w:color="000000"/>
              <w:left w:val="single" w:sz="4" w:space="0" w:color="000000"/>
              <w:bottom w:val="single" w:sz="4" w:space="0" w:color="000000"/>
              <w:right w:val="single" w:sz="4" w:space="0" w:color="000000"/>
            </w:tcBorders>
          </w:tcPr>
          <w:p w14:paraId="7654F6FC" w14:textId="77777777" w:rsidR="004A3CD3" w:rsidRDefault="006C0598">
            <w:pPr>
              <w:spacing w:after="0" w:line="259" w:lineRule="auto"/>
              <w:ind w:left="0" w:right="82" w:firstLine="0"/>
              <w:jc w:val="center"/>
            </w:pPr>
            <w:r>
              <w:t xml:space="preserve">2011 </w:t>
            </w:r>
          </w:p>
        </w:tc>
        <w:tc>
          <w:tcPr>
            <w:tcW w:w="7230" w:type="dxa"/>
            <w:tcBorders>
              <w:top w:val="single" w:sz="4" w:space="0" w:color="000000"/>
              <w:left w:val="single" w:sz="4" w:space="0" w:color="000000"/>
              <w:bottom w:val="single" w:sz="4" w:space="0" w:color="000000"/>
              <w:right w:val="single" w:sz="4" w:space="0" w:color="000000"/>
            </w:tcBorders>
            <w:vAlign w:val="center"/>
          </w:tcPr>
          <w:p w14:paraId="3494178F" w14:textId="77777777" w:rsidR="004A3CD3" w:rsidRDefault="006C0598">
            <w:pPr>
              <w:spacing w:after="0" w:line="259" w:lineRule="auto"/>
              <w:ind w:left="0" w:right="51" w:firstLine="0"/>
            </w:pPr>
            <w:r>
              <w:t xml:space="preserve">US Energy Information - Carbon dioxide emissions from energy use per capita (metric tons of carbon dioxide per person) (current as of 2011)  </w:t>
            </w:r>
          </w:p>
        </w:tc>
      </w:tr>
      <w:tr w:rsidR="00E933CB" w14:paraId="14157FDA"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53E86B5D" w14:textId="77777777" w:rsidR="004A3CD3" w:rsidRDefault="006C0598">
            <w:pPr>
              <w:spacing w:after="0" w:line="259" w:lineRule="auto"/>
              <w:ind w:left="55" w:right="0" w:firstLine="0"/>
              <w:jc w:val="left"/>
            </w:pPr>
            <w:r>
              <w:rPr>
                <w:rFonts w:ascii="Century Gothic" w:eastAsia="Century Gothic" w:hAnsi="Century Gothic" w:cs="Century Gothic"/>
                <w:b/>
                <w:sz w:val="20"/>
              </w:rPr>
              <w:t xml:space="preserve">P.3 </w:t>
            </w:r>
          </w:p>
        </w:tc>
        <w:tc>
          <w:tcPr>
            <w:tcW w:w="1277" w:type="dxa"/>
            <w:tcBorders>
              <w:top w:val="single" w:sz="4" w:space="0" w:color="000000"/>
              <w:left w:val="single" w:sz="4" w:space="0" w:color="000000"/>
              <w:bottom w:val="single" w:sz="4" w:space="0" w:color="000000"/>
              <w:right w:val="single" w:sz="4" w:space="0" w:color="000000"/>
            </w:tcBorders>
          </w:tcPr>
          <w:p w14:paraId="166BB2AB" w14:textId="77777777" w:rsidR="004A3CD3" w:rsidRDefault="006C0598">
            <w:pPr>
              <w:spacing w:after="0" w:line="259" w:lineRule="auto"/>
              <w:ind w:left="0" w:right="82" w:firstLine="0"/>
              <w:jc w:val="center"/>
            </w:pPr>
            <w:r>
              <w:t xml:space="preserve">2012 </w:t>
            </w:r>
          </w:p>
        </w:tc>
        <w:tc>
          <w:tcPr>
            <w:tcW w:w="7230" w:type="dxa"/>
            <w:tcBorders>
              <w:top w:val="single" w:sz="4" w:space="0" w:color="000000"/>
              <w:left w:val="single" w:sz="4" w:space="0" w:color="000000"/>
              <w:bottom w:val="single" w:sz="4" w:space="0" w:color="000000"/>
              <w:right w:val="single" w:sz="4" w:space="0" w:color="000000"/>
            </w:tcBorders>
            <w:vAlign w:val="center"/>
          </w:tcPr>
          <w:p w14:paraId="3CB20278" w14:textId="77777777" w:rsidR="004A3CD3" w:rsidRDefault="006C0598">
            <w:pPr>
              <w:spacing w:after="0" w:line="259" w:lineRule="auto"/>
              <w:ind w:left="0" w:right="0" w:firstLine="0"/>
            </w:pPr>
            <w:r>
              <w:t xml:space="preserve">US Energy Information - Total Carbon Dioxide Emissions from Energy Use (millions of metric tons) (updated 2012) </w:t>
            </w:r>
          </w:p>
        </w:tc>
      </w:tr>
      <w:tr w:rsidR="00E933CB" w14:paraId="5D551491" w14:textId="77777777">
        <w:trPr>
          <w:trHeight w:val="788"/>
        </w:trPr>
        <w:tc>
          <w:tcPr>
            <w:tcW w:w="674" w:type="dxa"/>
            <w:tcBorders>
              <w:top w:val="single" w:sz="4" w:space="0" w:color="000000"/>
              <w:left w:val="single" w:sz="4" w:space="0" w:color="000000"/>
              <w:bottom w:val="single" w:sz="4" w:space="0" w:color="000000"/>
              <w:right w:val="single" w:sz="4" w:space="0" w:color="000000"/>
            </w:tcBorders>
          </w:tcPr>
          <w:p w14:paraId="17D681E6" w14:textId="77777777" w:rsidR="004A3CD3" w:rsidRDefault="006C0598">
            <w:pPr>
              <w:spacing w:after="0" w:line="259" w:lineRule="auto"/>
              <w:ind w:left="55" w:right="0" w:firstLine="0"/>
              <w:jc w:val="left"/>
            </w:pPr>
            <w:r>
              <w:rPr>
                <w:rFonts w:ascii="Century Gothic" w:eastAsia="Century Gothic" w:hAnsi="Century Gothic" w:cs="Century Gothic"/>
                <w:b/>
                <w:sz w:val="20"/>
              </w:rPr>
              <w:t xml:space="preserve">P.4 </w:t>
            </w:r>
          </w:p>
        </w:tc>
        <w:tc>
          <w:tcPr>
            <w:tcW w:w="1277" w:type="dxa"/>
            <w:tcBorders>
              <w:top w:val="single" w:sz="4" w:space="0" w:color="000000"/>
              <w:left w:val="single" w:sz="4" w:space="0" w:color="000000"/>
              <w:bottom w:val="single" w:sz="4" w:space="0" w:color="000000"/>
              <w:right w:val="single" w:sz="4" w:space="0" w:color="000000"/>
            </w:tcBorders>
          </w:tcPr>
          <w:p w14:paraId="1B4214C5" w14:textId="77777777" w:rsidR="004A3CD3" w:rsidRDefault="006C0598">
            <w:pPr>
              <w:spacing w:after="0" w:line="259" w:lineRule="auto"/>
              <w:ind w:left="0" w:right="82" w:firstLine="0"/>
              <w:jc w:val="center"/>
            </w:pPr>
            <w:r>
              <w:t xml:space="preserve">2012 </w:t>
            </w:r>
          </w:p>
        </w:tc>
        <w:tc>
          <w:tcPr>
            <w:tcW w:w="7230" w:type="dxa"/>
            <w:tcBorders>
              <w:top w:val="single" w:sz="4" w:space="0" w:color="000000"/>
              <w:left w:val="single" w:sz="4" w:space="0" w:color="000000"/>
              <w:bottom w:val="single" w:sz="4" w:space="0" w:color="000000"/>
              <w:right w:val="single" w:sz="4" w:space="0" w:color="000000"/>
            </w:tcBorders>
            <w:vAlign w:val="center"/>
          </w:tcPr>
          <w:p w14:paraId="51239698" w14:textId="77777777" w:rsidR="004A3CD3" w:rsidRDefault="006C0598">
            <w:pPr>
              <w:spacing w:after="0" w:line="259" w:lineRule="auto"/>
              <w:ind w:left="0" w:right="0" w:firstLine="0"/>
            </w:pPr>
            <w:r>
              <w:t xml:space="preserve">Germany, The National Sustainable Development Strategy - 2012 Progress Report (excerpt) of 7 June 2012 </w:t>
            </w:r>
          </w:p>
        </w:tc>
      </w:tr>
      <w:tr w:rsidR="00E933CB" w14:paraId="43BBEB49"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2402E63B" w14:textId="77777777" w:rsidR="004A3CD3" w:rsidRDefault="006C0598">
            <w:pPr>
              <w:spacing w:after="0" w:line="259" w:lineRule="auto"/>
              <w:ind w:left="55" w:right="0" w:firstLine="0"/>
              <w:jc w:val="left"/>
            </w:pPr>
            <w:r>
              <w:rPr>
                <w:rFonts w:ascii="Century Gothic" w:eastAsia="Century Gothic" w:hAnsi="Century Gothic" w:cs="Century Gothic"/>
                <w:b/>
                <w:sz w:val="20"/>
              </w:rPr>
              <w:t xml:space="preserve">P.5 </w:t>
            </w:r>
          </w:p>
        </w:tc>
        <w:tc>
          <w:tcPr>
            <w:tcW w:w="1277" w:type="dxa"/>
            <w:tcBorders>
              <w:top w:val="single" w:sz="4" w:space="0" w:color="000000"/>
              <w:left w:val="single" w:sz="4" w:space="0" w:color="000000"/>
              <w:bottom w:val="single" w:sz="4" w:space="0" w:color="000000"/>
              <w:right w:val="single" w:sz="4" w:space="0" w:color="000000"/>
            </w:tcBorders>
          </w:tcPr>
          <w:p w14:paraId="1E4719F6" w14:textId="77777777" w:rsidR="004A3CD3" w:rsidRDefault="006C0598">
            <w:pPr>
              <w:spacing w:after="0" w:line="259" w:lineRule="auto"/>
              <w:ind w:left="0" w:right="82" w:firstLine="0"/>
              <w:jc w:val="center"/>
            </w:pPr>
            <w:r>
              <w:t xml:space="preserve">2013 </w:t>
            </w:r>
          </w:p>
        </w:tc>
        <w:tc>
          <w:tcPr>
            <w:tcW w:w="7230" w:type="dxa"/>
            <w:tcBorders>
              <w:top w:val="single" w:sz="4" w:space="0" w:color="000000"/>
              <w:left w:val="single" w:sz="4" w:space="0" w:color="000000"/>
              <w:bottom w:val="single" w:sz="4" w:space="0" w:color="000000"/>
              <w:right w:val="single" w:sz="4" w:space="0" w:color="000000"/>
            </w:tcBorders>
            <w:vAlign w:val="center"/>
          </w:tcPr>
          <w:p w14:paraId="28BBB282" w14:textId="77777777" w:rsidR="004A3CD3" w:rsidRDefault="006C0598">
            <w:pPr>
              <w:spacing w:after="0" w:line="259" w:lineRule="auto"/>
              <w:ind w:left="0" w:right="0" w:firstLine="0"/>
            </w:pPr>
            <w:r>
              <w:t xml:space="preserve">Denmark, The Danish Climate Policy Plan - Towards a low carbon society (extract) of August 2013 </w:t>
            </w:r>
          </w:p>
        </w:tc>
      </w:tr>
      <w:tr w:rsidR="00E933CB" w14:paraId="3D31492A"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1B3E22FE" w14:textId="77777777" w:rsidR="004A3CD3" w:rsidRDefault="006C0598">
            <w:pPr>
              <w:spacing w:after="0" w:line="259" w:lineRule="auto"/>
              <w:ind w:left="55" w:right="0" w:firstLine="0"/>
              <w:jc w:val="left"/>
            </w:pPr>
            <w:r>
              <w:rPr>
                <w:rFonts w:ascii="Century Gothic" w:eastAsia="Century Gothic" w:hAnsi="Century Gothic" w:cs="Century Gothic"/>
                <w:b/>
                <w:sz w:val="20"/>
              </w:rPr>
              <w:t xml:space="preserve">P.6 </w:t>
            </w:r>
          </w:p>
        </w:tc>
        <w:tc>
          <w:tcPr>
            <w:tcW w:w="1277" w:type="dxa"/>
            <w:tcBorders>
              <w:top w:val="single" w:sz="4" w:space="0" w:color="000000"/>
              <w:left w:val="single" w:sz="4" w:space="0" w:color="000000"/>
              <w:bottom w:val="single" w:sz="4" w:space="0" w:color="000000"/>
              <w:right w:val="single" w:sz="4" w:space="0" w:color="000000"/>
            </w:tcBorders>
          </w:tcPr>
          <w:p w14:paraId="39D12B16" w14:textId="77777777" w:rsidR="004A3CD3" w:rsidRDefault="006C0598">
            <w:pPr>
              <w:spacing w:after="0" w:line="259" w:lineRule="auto"/>
              <w:ind w:left="0" w:right="82" w:firstLine="0"/>
              <w:jc w:val="center"/>
            </w:pPr>
            <w:r>
              <w:t xml:space="preserve">2013 </w:t>
            </w:r>
          </w:p>
        </w:tc>
        <w:tc>
          <w:tcPr>
            <w:tcW w:w="7230" w:type="dxa"/>
            <w:tcBorders>
              <w:top w:val="single" w:sz="4" w:space="0" w:color="000000"/>
              <w:left w:val="single" w:sz="4" w:space="0" w:color="000000"/>
              <w:bottom w:val="single" w:sz="4" w:space="0" w:color="000000"/>
              <w:right w:val="single" w:sz="4" w:space="0" w:color="000000"/>
            </w:tcBorders>
            <w:vAlign w:val="center"/>
          </w:tcPr>
          <w:p w14:paraId="286EC967" w14:textId="77777777" w:rsidR="004A3CD3" w:rsidRDefault="006C0598">
            <w:pPr>
              <w:spacing w:after="0" w:line="259" w:lineRule="auto"/>
              <w:ind w:left="0" w:right="0" w:firstLine="0"/>
              <w:jc w:val="left"/>
            </w:pPr>
            <w:r>
              <w:t xml:space="preserve">United Kingdom, Analysis of EU 2030 GHG Targets, 18 October 2013 </w:t>
            </w:r>
          </w:p>
        </w:tc>
      </w:tr>
      <w:tr w:rsidR="00E933CB" w14:paraId="42988B7D" w14:textId="77777777">
        <w:trPr>
          <w:trHeight w:val="319"/>
        </w:trPr>
        <w:tc>
          <w:tcPr>
            <w:tcW w:w="674" w:type="dxa"/>
            <w:tcBorders>
              <w:top w:val="single" w:sz="4" w:space="0" w:color="000000"/>
              <w:left w:val="single" w:sz="4" w:space="0" w:color="000000"/>
              <w:bottom w:val="single" w:sz="4" w:space="0" w:color="000000"/>
              <w:right w:val="single" w:sz="4" w:space="0" w:color="000000"/>
            </w:tcBorders>
          </w:tcPr>
          <w:p w14:paraId="26D09472" w14:textId="77777777" w:rsidR="004A3CD3" w:rsidRDefault="006C0598">
            <w:pPr>
              <w:spacing w:after="0" w:line="259" w:lineRule="auto"/>
              <w:ind w:left="55" w:right="0" w:firstLine="0"/>
              <w:jc w:val="left"/>
            </w:pPr>
            <w:r>
              <w:rPr>
                <w:rFonts w:ascii="Century Gothic" w:eastAsia="Century Gothic" w:hAnsi="Century Gothic" w:cs="Century Gothic"/>
                <w:b/>
                <w:sz w:val="20"/>
              </w:rPr>
              <w:t xml:space="preserve">P.7 </w:t>
            </w:r>
          </w:p>
        </w:tc>
        <w:tc>
          <w:tcPr>
            <w:tcW w:w="1277" w:type="dxa"/>
            <w:tcBorders>
              <w:top w:val="single" w:sz="4" w:space="0" w:color="000000"/>
              <w:left w:val="single" w:sz="4" w:space="0" w:color="000000"/>
              <w:bottom w:val="single" w:sz="4" w:space="0" w:color="000000"/>
              <w:right w:val="single" w:sz="4" w:space="0" w:color="000000"/>
            </w:tcBorders>
          </w:tcPr>
          <w:p w14:paraId="2ADB9821" w14:textId="77777777" w:rsidR="004A3CD3" w:rsidRDefault="006C0598">
            <w:pPr>
              <w:spacing w:after="0" w:line="259" w:lineRule="auto"/>
              <w:ind w:left="0" w:right="82" w:firstLine="0"/>
              <w:jc w:val="center"/>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4568051A" w14:textId="77777777" w:rsidR="004A3CD3" w:rsidRDefault="006C0598">
            <w:pPr>
              <w:spacing w:after="0" w:line="259" w:lineRule="auto"/>
              <w:ind w:left="0" w:right="0" w:firstLine="0"/>
              <w:jc w:val="left"/>
            </w:pPr>
            <w:r>
              <w:t xml:space="preserve">Statutes Klimaatzaak vzw 2014 </w:t>
            </w:r>
          </w:p>
        </w:tc>
      </w:tr>
      <w:tr w:rsidR="00E933CB" w14:paraId="7DE2D476" w14:textId="77777777">
        <w:trPr>
          <w:trHeight w:val="626"/>
        </w:trPr>
        <w:tc>
          <w:tcPr>
            <w:tcW w:w="674" w:type="dxa"/>
            <w:tcBorders>
              <w:top w:val="single" w:sz="4" w:space="0" w:color="000000"/>
              <w:left w:val="single" w:sz="4" w:space="0" w:color="000000"/>
              <w:bottom w:val="single" w:sz="4" w:space="0" w:color="000000"/>
              <w:right w:val="single" w:sz="4" w:space="0" w:color="000000"/>
            </w:tcBorders>
          </w:tcPr>
          <w:p w14:paraId="712C1A77" w14:textId="77777777" w:rsidR="004A3CD3" w:rsidRDefault="006C0598">
            <w:pPr>
              <w:spacing w:after="0" w:line="259" w:lineRule="auto"/>
              <w:ind w:left="55" w:right="0" w:firstLine="0"/>
              <w:jc w:val="left"/>
            </w:pPr>
            <w:r>
              <w:rPr>
                <w:rFonts w:ascii="Century Gothic" w:eastAsia="Century Gothic" w:hAnsi="Century Gothic" w:cs="Century Gothic"/>
                <w:b/>
                <w:sz w:val="20"/>
              </w:rPr>
              <w:t xml:space="preserve">P.8 </w:t>
            </w:r>
          </w:p>
        </w:tc>
        <w:tc>
          <w:tcPr>
            <w:tcW w:w="1277" w:type="dxa"/>
            <w:tcBorders>
              <w:top w:val="single" w:sz="4" w:space="0" w:color="000000"/>
              <w:left w:val="single" w:sz="4" w:space="0" w:color="000000"/>
              <w:bottom w:val="single" w:sz="4" w:space="0" w:color="000000"/>
              <w:right w:val="single" w:sz="4" w:space="0" w:color="000000"/>
            </w:tcBorders>
          </w:tcPr>
          <w:p w14:paraId="44004230" w14:textId="77777777" w:rsidR="004A3CD3" w:rsidRDefault="006C0598">
            <w:pPr>
              <w:spacing w:after="0" w:line="259" w:lineRule="auto"/>
              <w:ind w:left="0" w:right="82" w:firstLine="0"/>
              <w:jc w:val="center"/>
            </w:pPr>
            <w:r>
              <w:t xml:space="preserve">2014 </w:t>
            </w:r>
          </w:p>
        </w:tc>
        <w:tc>
          <w:tcPr>
            <w:tcW w:w="7230" w:type="dxa"/>
            <w:tcBorders>
              <w:top w:val="single" w:sz="4" w:space="0" w:color="000000"/>
              <w:left w:val="single" w:sz="4" w:space="0" w:color="000000"/>
              <w:bottom w:val="single" w:sz="4" w:space="0" w:color="000000"/>
              <w:right w:val="single" w:sz="4" w:space="0" w:color="000000"/>
            </w:tcBorders>
          </w:tcPr>
          <w:p w14:paraId="58F8081F" w14:textId="77777777" w:rsidR="004A3CD3" w:rsidRDefault="006C0598">
            <w:pPr>
              <w:spacing w:after="19" w:line="259" w:lineRule="auto"/>
              <w:ind w:left="0" w:right="0" w:firstLine="0"/>
              <w:jc w:val="left"/>
            </w:pPr>
            <w:r>
              <w:t xml:space="preserve">FPS Public Health, Safety of the Food Chain and Environment, </w:t>
            </w:r>
          </w:p>
          <w:p w14:paraId="3E5C818D" w14:textId="77777777" w:rsidR="004A3CD3" w:rsidRDefault="006C0598">
            <w:pPr>
              <w:spacing w:after="0" w:line="259" w:lineRule="auto"/>
              <w:ind w:left="0" w:right="0" w:firstLine="0"/>
              <w:jc w:val="left"/>
            </w:pPr>
            <w:r>
              <w:t xml:space="preserve">Climate Survey 2013 (findings), May 2014 </w:t>
            </w:r>
          </w:p>
        </w:tc>
      </w:tr>
      <w:tr w:rsidR="00E933CB" w14:paraId="53D9ACE8"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01FDB5B2" w14:textId="77777777" w:rsidR="004A3CD3" w:rsidRDefault="006C0598">
            <w:pPr>
              <w:spacing w:after="0" w:line="259" w:lineRule="auto"/>
              <w:ind w:left="55" w:right="0" w:firstLine="0"/>
              <w:jc w:val="left"/>
            </w:pPr>
            <w:r>
              <w:rPr>
                <w:rFonts w:ascii="Century Gothic" w:eastAsia="Century Gothic" w:hAnsi="Century Gothic" w:cs="Century Gothic"/>
                <w:b/>
                <w:sz w:val="20"/>
              </w:rPr>
              <w:lastRenderedPageBreak/>
              <w:t xml:space="preserve">P.9 </w:t>
            </w:r>
          </w:p>
        </w:tc>
        <w:tc>
          <w:tcPr>
            <w:tcW w:w="1277" w:type="dxa"/>
            <w:tcBorders>
              <w:top w:val="single" w:sz="4" w:space="0" w:color="000000"/>
              <w:left w:val="single" w:sz="4" w:space="0" w:color="000000"/>
              <w:bottom w:val="single" w:sz="4" w:space="0" w:color="000000"/>
              <w:right w:val="single" w:sz="4" w:space="0" w:color="000000"/>
            </w:tcBorders>
          </w:tcPr>
          <w:p w14:paraId="7D3026D5" w14:textId="77777777" w:rsidR="004A3CD3" w:rsidRDefault="006C0598">
            <w:pPr>
              <w:spacing w:after="0" w:line="259" w:lineRule="auto"/>
              <w:ind w:left="0" w:right="82" w:firstLine="0"/>
              <w:jc w:val="center"/>
            </w:pPr>
            <w:r>
              <w:t xml:space="preserve">2015 </w:t>
            </w:r>
          </w:p>
        </w:tc>
        <w:tc>
          <w:tcPr>
            <w:tcW w:w="7230" w:type="dxa"/>
            <w:tcBorders>
              <w:top w:val="single" w:sz="4" w:space="0" w:color="000000"/>
              <w:left w:val="single" w:sz="4" w:space="0" w:color="000000"/>
              <w:bottom w:val="single" w:sz="4" w:space="0" w:color="000000"/>
              <w:right w:val="single" w:sz="4" w:space="0" w:color="000000"/>
            </w:tcBorders>
            <w:vAlign w:val="center"/>
          </w:tcPr>
          <w:p w14:paraId="3B4EA9ED" w14:textId="77777777" w:rsidR="004A3CD3" w:rsidRDefault="006C0598">
            <w:pPr>
              <w:spacing w:after="0" w:line="259" w:lineRule="auto"/>
              <w:ind w:left="0" w:right="0" w:firstLine="0"/>
              <w:jc w:val="left"/>
            </w:pPr>
            <w:r>
              <w:t xml:space="preserve">UK Committee on Climate Change, Carbon Budgets and targets </w:t>
            </w:r>
          </w:p>
        </w:tc>
      </w:tr>
      <w:tr w:rsidR="00E933CB" w14:paraId="6BD3AE4C"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60CB28E1"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P.10 </w:t>
            </w:r>
          </w:p>
        </w:tc>
        <w:tc>
          <w:tcPr>
            <w:tcW w:w="1277" w:type="dxa"/>
            <w:tcBorders>
              <w:top w:val="single" w:sz="4" w:space="0" w:color="000000"/>
              <w:left w:val="single" w:sz="4" w:space="0" w:color="000000"/>
              <w:bottom w:val="single" w:sz="4" w:space="0" w:color="000000"/>
              <w:right w:val="single" w:sz="4" w:space="0" w:color="000000"/>
            </w:tcBorders>
          </w:tcPr>
          <w:p w14:paraId="6CEC2F74" w14:textId="77777777" w:rsidR="004A3CD3" w:rsidRDefault="006C0598">
            <w:pPr>
              <w:spacing w:after="0" w:line="259" w:lineRule="auto"/>
              <w:ind w:left="0" w:right="82" w:firstLine="0"/>
              <w:jc w:val="center"/>
            </w:pPr>
            <w:r>
              <w:t xml:space="preserve">2016 </w:t>
            </w:r>
          </w:p>
        </w:tc>
        <w:tc>
          <w:tcPr>
            <w:tcW w:w="7230" w:type="dxa"/>
            <w:tcBorders>
              <w:top w:val="single" w:sz="4" w:space="0" w:color="000000"/>
              <w:left w:val="single" w:sz="4" w:space="0" w:color="000000"/>
              <w:bottom w:val="single" w:sz="4" w:space="0" w:color="000000"/>
              <w:right w:val="single" w:sz="4" w:space="0" w:color="000000"/>
            </w:tcBorders>
            <w:vAlign w:val="center"/>
          </w:tcPr>
          <w:p w14:paraId="3BE56EAD" w14:textId="77777777" w:rsidR="004A3CD3" w:rsidRDefault="006C0598">
            <w:pPr>
              <w:spacing w:after="0" w:line="259" w:lineRule="auto"/>
              <w:ind w:left="0" w:right="0" w:firstLine="0"/>
              <w:jc w:val="left"/>
            </w:pPr>
            <w:r>
              <w:t xml:space="preserve">PBL, </w:t>
            </w:r>
            <w:r>
              <w:rPr>
                <w:i/>
              </w:rPr>
              <w:t>Opties voor energie- en klimaatbeleid</w:t>
            </w:r>
            <w:r>
              <w:t xml:space="preserve">, 2016 </w:t>
            </w:r>
          </w:p>
        </w:tc>
      </w:tr>
      <w:tr w:rsidR="00E933CB" w14:paraId="5879564F" w14:textId="77777777">
        <w:trPr>
          <w:trHeight w:val="1056"/>
        </w:trPr>
        <w:tc>
          <w:tcPr>
            <w:tcW w:w="674" w:type="dxa"/>
            <w:tcBorders>
              <w:top w:val="single" w:sz="4" w:space="0" w:color="000000"/>
              <w:left w:val="single" w:sz="4" w:space="0" w:color="000000"/>
              <w:bottom w:val="single" w:sz="4" w:space="0" w:color="000000"/>
              <w:right w:val="single" w:sz="4" w:space="0" w:color="000000"/>
            </w:tcBorders>
          </w:tcPr>
          <w:p w14:paraId="32D29671"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P.11 </w:t>
            </w:r>
          </w:p>
        </w:tc>
        <w:tc>
          <w:tcPr>
            <w:tcW w:w="1277" w:type="dxa"/>
            <w:tcBorders>
              <w:top w:val="single" w:sz="4" w:space="0" w:color="000000"/>
              <w:left w:val="single" w:sz="4" w:space="0" w:color="000000"/>
              <w:bottom w:val="single" w:sz="4" w:space="0" w:color="000000"/>
              <w:right w:val="single" w:sz="4" w:space="0" w:color="000000"/>
            </w:tcBorders>
          </w:tcPr>
          <w:p w14:paraId="53E23834" w14:textId="77777777" w:rsidR="004A3CD3" w:rsidRDefault="006C0598">
            <w:pPr>
              <w:spacing w:after="0" w:line="259" w:lineRule="auto"/>
              <w:ind w:left="0" w:right="82" w:firstLine="0"/>
              <w:jc w:val="center"/>
            </w:pPr>
            <w:r>
              <w:t xml:space="preserve">2016 </w:t>
            </w:r>
          </w:p>
        </w:tc>
        <w:tc>
          <w:tcPr>
            <w:tcW w:w="7230" w:type="dxa"/>
            <w:tcBorders>
              <w:top w:val="single" w:sz="4" w:space="0" w:color="000000"/>
              <w:left w:val="single" w:sz="4" w:space="0" w:color="000000"/>
              <w:bottom w:val="single" w:sz="4" w:space="0" w:color="000000"/>
              <w:right w:val="single" w:sz="4" w:space="0" w:color="000000"/>
            </w:tcBorders>
            <w:vAlign w:val="center"/>
          </w:tcPr>
          <w:p w14:paraId="289303D9" w14:textId="77777777" w:rsidR="004A3CD3" w:rsidRDefault="006C0598">
            <w:pPr>
              <w:spacing w:after="0" w:line="259" w:lineRule="auto"/>
              <w:ind w:left="0" w:right="0" w:firstLine="0"/>
            </w:pPr>
            <w:r>
              <w:t xml:space="preserve">FEDERAL MINISTRY FOR THE ENVIRONMENT, NATURE CONSERVATION, </w:t>
            </w:r>
          </w:p>
          <w:p w14:paraId="2B077752" w14:textId="77777777" w:rsidR="004A3CD3" w:rsidRDefault="006C0598">
            <w:pPr>
              <w:spacing w:after="0" w:line="259" w:lineRule="auto"/>
              <w:ind w:left="0" w:right="0" w:firstLine="0"/>
            </w:pPr>
            <w:r>
              <w:t xml:space="preserve">BUILDING AND NUCLEAR SAFETY (BMUB), Climate Action Plan 2050 - Principles and goals of the German Government's climate policy, Berlin, November 2016 </w:t>
            </w:r>
          </w:p>
        </w:tc>
      </w:tr>
      <w:tr w:rsidR="00E933CB" w14:paraId="0D5FF52F"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41F10684"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P.12 </w:t>
            </w:r>
          </w:p>
        </w:tc>
        <w:tc>
          <w:tcPr>
            <w:tcW w:w="1277" w:type="dxa"/>
            <w:tcBorders>
              <w:top w:val="single" w:sz="4" w:space="0" w:color="000000"/>
              <w:left w:val="single" w:sz="4" w:space="0" w:color="000000"/>
              <w:bottom w:val="single" w:sz="4" w:space="0" w:color="000000"/>
              <w:right w:val="single" w:sz="4" w:space="0" w:color="000000"/>
            </w:tcBorders>
          </w:tcPr>
          <w:p w14:paraId="5693CC6B" w14:textId="77777777" w:rsidR="004A3CD3" w:rsidRDefault="006C0598">
            <w:pPr>
              <w:spacing w:after="0" w:line="259" w:lineRule="auto"/>
              <w:ind w:left="0" w:right="82" w:firstLine="0"/>
              <w:jc w:val="center"/>
            </w:pPr>
            <w:r>
              <w:t xml:space="preserve">2017 </w:t>
            </w:r>
          </w:p>
        </w:tc>
        <w:tc>
          <w:tcPr>
            <w:tcW w:w="7230" w:type="dxa"/>
            <w:tcBorders>
              <w:top w:val="single" w:sz="4" w:space="0" w:color="000000"/>
              <w:left w:val="single" w:sz="4" w:space="0" w:color="000000"/>
              <w:bottom w:val="single" w:sz="4" w:space="0" w:color="000000"/>
              <w:right w:val="single" w:sz="4" w:space="0" w:color="000000"/>
            </w:tcBorders>
            <w:vAlign w:val="center"/>
          </w:tcPr>
          <w:p w14:paraId="7F16163C" w14:textId="77777777" w:rsidR="004A3CD3" w:rsidRDefault="006C0598">
            <w:pPr>
              <w:spacing w:after="0" w:line="259" w:lineRule="auto"/>
              <w:ind w:left="0" w:right="0" w:firstLine="0"/>
              <w:jc w:val="left"/>
            </w:pPr>
            <w:r>
              <w:t xml:space="preserve">The Swedish climate policy framework, June 2017 </w:t>
            </w:r>
          </w:p>
        </w:tc>
      </w:tr>
      <w:tr w:rsidR="00E933CB" w14:paraId="4EE87C1E"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354DC971"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P.13 </w:t>
            </w:r>
          </w:p>
        </w:tc>
        <w:tc>
          <w:tcPr>
            <w:tcW w:w="1277" w:type="dxa"/>
            <w:tcBorders>
              <w:top w:val="single" w:sz="4" w:space="0" w:color="000000"/>
              <w:left w:val="single" w:sz="4" w:space="0" w:color="000000"/>
              <w:bottom w:val="single" w:sz="4" w:space="0" w:color="000000"/>
              <w:right w:val="single" w:sz="4" w:space="0" w:color="000000"/>
            </w:tcBorders>
          </w:tcPr>
          <w:p w14:paraId="0435C4D4" w14:textId="77777777" w:rsidR="004A3CD3" w:rsidRDefault="006C0598">
            <w:pPr>
              <w:spacing w:after="0" w:line="259" w:lineRule="auto"/>
              <w:ind w:left="0" w:right="82" w:firstLine="0"/>
              <w:jc w:val="center"/>
            </w:pPr>
            <w:r>
              <w:t xml:space="preserve">2017 </w:t>
            </w:r>
          </w:p>
        </w:tc>
        <w:tc>
          <w:tcPr>
            <w:tcW w:w="7230" w:type="dxa"/>
            <w:tcBorders>
              <w:top w:val="single" w:sz="4" w:space="0" w:color="000000"/>
              <w:left w:val="single" w:sz="4" w:space="0" w:color="000000"/>
              <w:bottom w:val="single" w:sz="4" w:space="0" w:color="000000"/>
              <w:right w:val="single" w:sz="4" w:space="0" w:color="000000"/>
            </w:tcBorders>
            <w:vAlign w:val="center"/>
          </w:tcPr>
          <w:p w14:paraId="1DCCA527" w14:textId="77777777" w:rsidR="004A3CD3" w:rsidRDefault="006C0598">
            <w:pPr>
              <w:spacing w:after="0" w:line="259" w:lineRule="auto"/>
              <w:ind w:left="0" w:right="0" w:firstLine="0"/>
            </w:pPr>
            <w:r>
              <w:t xml:space="preserve">VVD, CDA, D66 &amp; CHRISTEN-UNIE, </w:t>
            </w:r>
            <w:r>
              <w:rPr>
                <w:i/>
              </w:rPr>
              <w:t>Vertrouwen in de toekomst - Regeerakkoord 2017-2021</w:t>
            </w:r>
            <w:r>
              <w:t xml:space="preserve">, 10 oktober 2017 </w:t>
            </w:r>
          </w:p>
        </w:tc>
      </w:tr>
      <w:tr w:rsidR="00E933CB" w14:paraId="470290D2" w14:textId="77777777">
        <w:trPr>
          <w:trHeight w:val="1056"/>
        </w:trPr>
        <w:tc>
          <w:tcPr>
            <w:tcW w:w="674" w:type="dxa"/>
            <w:tcBorders>
              <w:top w:val="single" w:sz="4" w:space="0" w:color="000000"/>
              <w:left w:val="single" w:sz="4" w:space="0" w:color="000000"/>
              <w:bottom w:val="single" w:sz="4" w:space="0" w:color="000000"/>
              <w:right w:val="single" w:sz="4" w:space="0" w:color="000000"/>
            </w:tcBorders>
          </w:tcPr>
          <w:p w14:paraId="47EE7885"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P.14 </w:t>
            </w:r>
          </w:p>
        </w:tc>
        <w:tc>
          <w:tcPr>
            <w:tcW w:w="1277" w:type="dxa"/>
            <w:tcBorders>
              <w:top w:val="single" w:sz="4" w:space="0" w:color="000000"/>
              <w:left w:val="single" w:sz="4" w:space="0" w:color="000000"/>
              <w:bottom w:val="single" w:sz="4" w:space="0" w:color="000000"/>
              <w:right w:val="single" w:sz="4" w:space="0" w:color="000000"/>
            </w:tcBorders>
          </w:tcPr>
          <w:p w14:paraId="22925631"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63016167" w14:textId="77777777" w:rsidR="004A3CD3" w:rsidRDefault="006C0598">
            <w:pPr>
              <w:spacing w:after="0" w:line="259" w:lineRule="auto"/>
              <w:ind w:left="65" w:right="47" w:firstLine="0"/>
            </w:pPr>
            <w:r>
              <w:t xml:space="preserve">FINNISH GOVERNMENT, </w:t>
            </w:r>
            <w:r>
              <w:rPr>
                <w:i/>
              </w:rPr>
              <w:t>Inclusive and competent Finland - A socially, economically and ecologically sustainable society - Programme of Prime Minister Antti Rinne's Government 2019</w:t>
            </w:r>
            <w:r>
              <w:t xml:space="preserve">, 6 June 2019 </w:t>
            </w:r>
          </w:p>
        </w:tc>
      </w:tr>
      <w:tr w:rsidR="00E933CB" w14:paraId="5D3F179C"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487AB16A"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P.15 </w:t>
            </w:r>
          </w:p>
        </w:tc>
        <w:tc>
          <w:tcPr>
            <w:tcW w:w="1277" w:type="dxa"/>
            <w:tcBorders>
              <w:top w:val="single" w:sz="4" w:space="0" w:color="000000"/>
              <w:left w:val="single" w:sz="4" w:space="0" w:color="000000"/>
              <w:bottom w:val="single" w:sz="4" w:space="0" w:color="000000"/>
              <w:right w:val="single" w:sz="4" w:space="0" w:color="000000"/>
            </w:tcBorders>
          </w:tcPr>
          <w:p w14:paraId="25F50348"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438B977B" w14:textId="77777777" w:rsidR="004A3CD3" w:rsidRDefault="006C0598">
            <w:pPr>
              <w:spacing w:after="0" w:line="259" w:lineRule="auto"/>
              <w:ind w:left="0" w:right="0" w:firstLine="0"/>
              <w:jc w:val="left"/>
            </w:pPr>
            <w:r>
              <w:t xml:space="preserve">Age distribution of co-applicants  </w:t>
            </w:r>
          </w:p>
        </w:tc>
      </w:tr>
      <w:tr w:rsidR="00E933CB" w14:paraId="4E05756D" w14:textId="77777777">
        <w:trPr>
          <w:trHeight w:val="788"/>
        </w:trPr>
        <w:tc>
          <w:tcPr>
            <w:tcW w:w="674" w:type="dxa"/>
            <w:tcBorders>
              <w:top w:val="single" w:sz="4" w:space="0" w:color="000000"/>
              <w:left w:val="single" w:sz="4" w:space="0" w:color="000000"/>
              <w:bottom w:val="single" w:sz="4" w:space="0" w:color="000000"/>
              <w:right w:val="single" w:sz="4" w:space="0" w:color="000000"/>
            </w:tcBorders>
          </w:tcPr>
          <w:p w14:paraId="587991EA"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P.16 </w:t>
            </w:r>
          </w:p>
        </w:tc>
        <w:tc>
          <w:tcPr>
            <w:tcW w:w="1277" w:type="dxa"/>
            <w:tcBorders>
              <w:top w:val="single" w:sz="4" w:space="0" w:color="000000"/>
              <w:left w:val="single" w:sz="4" w:space="0" w:color="000000"/>
              <w:bottom w:val="single" w:sz="4" w:space="0" w:color="000000"/>
              <w:right w:val="single" w:sz="4" w:space="0" w:color="000000"/>
            </w:tcBorders>
          </w:tcPr>
          <w:p w14:paraId="4ADF9A78"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7F35CCF9" w14:textId="77777777" w:rsidR="004A3CD3" w:rsidRDefault="006C0598">
            <w:pPr>
              <w:spacing w:after="0" w:line="259" w:lineRule="auto"/>
              <w:ind w:left="0" w:right="0" w:firstLine="0"/>
            </w:pPr>
            <w:r>
              <w:t xml:space="preserve">X., </w:t>
            </w:r>
            <w:r>
              <w:rPr>
                <w:i/>
              </w:rPr>
              <w:t>De hete patat in het klimaatdebat. Aanbevelingsnota Stroomgroep Financiering</w:t>
            </w:r>
            <w:r>
              <w:t xml:space="preserve">, Brussel, SERV, 16 oktober 2019 </w:t>
            </w:r>
          </w:p>
        </w:tc>
      </w:tr>
      <w:tr w:rsidR="00E933CB" w14:paraId="4A9C71D8"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4276B1EF"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P.17 </w:t>
            </w:r>
          </w:p>
        </w:tc>
        <w:tc>
          <w:tcPr>
            <w:tcW w:w="1277" w:type="dxa"/>
            <w:tcBorders>
              <w:top w:val="single" w:sz="4" w:space="0" w:color="000000"/>
              <w:left w:val="single" w:sz="4" w:space="0" w:color="000000"/>
              <w:bottom w:val="single" w:sz="4" w:space="0" w:color="000000"/>
              <w:right w:val="single" w:sz="4" w:space="0" w:color="000000"/>
            </w:tcBorders>
          </w:tcPr>
          <w:p w14:paraId="5E9507C5"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16580AA1" w14:textId="77777777" w:rsidR="004A3CD3" w:rsidRDefault="006C0598">
            <w:pPr>
              <w:spacing w:after="0" w:line="259" w:lineRule="auto"/>
              <w:ind w:left="0" w:right="0" w:firstLine="0"/>
            </w:pPr>
            <w:r>
              <w:t xml:space="preserve">X., </w:t>
            </w:r>
            <w:r>
              <w:rPr>
                <w:i/>
              </w:rPr>
              <w:t>De hete patat doorgesneden. Achtergrondrapport - Financiering van de energie- en klimaattransitie</w:t>
            </w:r>
            <w:r>
              <w:t xml:space="preserve">, Brussel, SERV, 16 oktober 2019 </w:t>
            </w:r>
          </w:p>
        </w:tc>
      </w:tr>
      <w:tr w:rsidR="00E933CB" w14:paraId="735E78CB"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6EC83D83"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P.18 </w:t>
            </w:r>
          </w:p>
        </w:tc>
        <w:tc>
          <w:tcPr>
            <w:tcW w:w="1277" w:type="dxa"/>
            <w:tcBorders>
              <w:top w:val="single" w:sz="4" w:space="0" w:color="000000"/>
              <w:left w:val="single" w:sz="4" w:space="0" w:color="000000"/>
              <w:bottom w:val="single" w:sz="4" w:space="0" w:color="000000"/>
              <w:right w:val="single" w:sz="4" w:space="0" w:color="000000"/>
            </w:tcBorders>
          </w:tcPr>
          <w:p w14:paraId="12ECC6D3"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2094466D" w14:textId="77777777" w:rsidR="004A3CD3" w:rsidRDefault="006C0598">
            <w:pPr>
              <w:spacing w:after="0" w:line="259" w:lineRule="auto"/>
              <w:ind w:left="0" w:right="0" w:firstLine="0"/>
              <w:jc w:val="left"/>
            </w:pPr>
            <w:r>
              <w:t xml:space="preserve">National Inventory Report of Germany 2019 (period 1990-2017) </w:t>
            </w:r>
          </w:p>
        </w:tc>
      </w:tr>
      <w:tr w:rsidR="00E933CB" w14:paraId="0CF5ED97" w14:textId="77777777">
        <w:trPr>
          <w:trHeight w:val="519"/>
        </w:trPr>
        <w:tc>
          <w:tcPr>
            <w:tcW w:w="674" w:type="dxa"/>
            <w:tcBorders>
              <w:top w:val="single" w:sz="4" w:space="0" w:color="000000"/>
              <w:left w:val="single" w:sz="4" w:space="0" w:color="000000"/>
              <w:bottom w:val="single" w:sz="4" w:space="0" w:color="000000"/>
              <w:right w:val="single" w:sz="4" w:space="0" w:color="000000"/>
            </w:tcBorders>
          </w:tcPr>
          <w:p w14:paraId="0A4D029A"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P.19 </w:t>
            </w:r>
          </w:p>
        </w:tc>
        <w:tc>
          <w:tcPr>
            <w:tcW w:w="1277" w:type="dxa"/>
            <w:tcBorders>
              <w:top w:val="single" w:sz="4" w:space="0" w:color="000000"/>
              <w:left w:val="single" w:sz="4" w:space="0" w:color="000000"/>
              <w:bottom w:val="single" w:sz="4" w:space="0" w:color="000000"/>
              <w:right w:val="single" w:sz="4" w:space="0" w:color="000000"/>
            </w:tcBorders>
          </w:tcPr>
          <w:p w14:paraId="4769955A"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38937B82" w14:textId="77777777" w:rsidR="004A3CD3" w:rsidRDefault="006C0598">
            <w:pPr>
              <w:spacing w:after="0" w:line="259" w:lineRule="auto"/>
              <w:ind w:left="0" w:right="0" w:firstLine="0"/>
              <w:jc w:val="left"/>
            </w:pPr>
            <w:r>
              <w:t xml:space="preserve">UK National Inventory Report 2019 (period 1990-2017) </w:t>
            </w:r>
          </w:p>
        </w:tc>
      </w:tr>
      <w:tr w:rsidR="00E933CB" w14:paraId="0EF414E2"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51A878A5"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P.20 </w:t>
            </w:r>
          </w:p>
        </w:tc>
        <w:tc>
          <w:tcPr>
            <w:tcW w:w="1277" w:type="dxa"/>
            <w:tcBorders>
              <w:top w:val="single" w:sz="4" w:space="0" w:color="000000"/>
              <w:left w:val="single" w:sz="4" w:space="0" w:color="000000"/>
              <w:bottom w:val="single" w:sz="4" w:space="0" w:color="000000"/>
              <w:right w:val="single" w:sz="4" w:space="0" w:color="000000"/>
            </w:tcBorders>
          </w:tcPr>
          <w:p w14:paraId="47293406"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12BD9B1B" w14:textId="77777777" w:rsidR="004A3CD3" w:rsidRDefault="006C0598">
            <w:pPr>
              <w:spacing w:after="0" w:line="259" w:lineRule="auto"/>
              <w:ind w:left="0" w:right="0" w:firstLine="0"/>
              <w:jc w:val="left"/>
            </w:pPr>
            <w:r>
              <w:t xml:space="preserve">Sweden's National Inventory Report 2019 (period 1990-2017) </w:t>
            </w:r>
          </w:p>
        </w:tc>
      </w:tr>
      <w:tr w:rsidR="00E933CB" w14:paraId="143D5FC5"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44D1CCD0"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P.21 </w:t>
            </w:r>
          </w:p>
        </w:tc>
        <w:tc>
          <w:tcPr>
            <w:tcW w:w="1277" w:type="dxa"/>
            <w:tcBorders>
              <w:top w:val="single" w:sz="4" w:space="0" w:color="000000"/>
              <w:left w:val="single" w:sz="4" w:space="0" w:color="000000"/>
              <w:bottom w:val="single" w:sz="4" w:space="0" w:color="000000"/>
              <w:right w:val="single" w:sz="4" w:space="0" w:color="000000"/>
            </w:tcBorders>
          </w:tcPr>
          <w:p w14:paraId="3FAB0F92"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20811CDF" w14:textId="77777777" w:rsidR="004A3CD3" w:rsidRDefault="006C0598">
            <w:pPr>
              <w:spacing w:after="0" w:line="259" w:lineRule="auto"/>
              <w:ind w:left="0" w:right="0" w:firstLine="0"/>
              <w:jc w:val="left"/>
            </w:pPr>
            <w:r>
              <w:t xml:space="preserve">Denmark's National Inventory Report 2019 (period 1990-2017) </w:t>
            </w:r>
          </w:p>
        </w:tc>
      </w:tr>
      <w:tr w:rsidR="00E933CB" w14:paraId="6FE5568A"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118FCA5B"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P.22 </w:t>
            </w:r>
          </w:p>
        </w:tc>
        <w:tc>
          <w:tcPr>
            <w:tcW w:w="1277" w:type="dxa"/>
            <w:tcBorders>
              <w:top w:val="single" w:sz="4" w:space="0" w:color="000000"/>
              <w:left w:val="single" w:sz="4" w:space="0" w:color="000000"/>
              <w:bottom w:val="single" w:sz="4" w:space="0" w:color="000000"/>
              <w:right w:val="single" w:sz="4" w:space="0" w:color="000000"/>
            </w:tcBorders>
          </w:tcPr>
          <w:p w14:paraId="5452CAF7"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074151A2" w14:textId="77777777" w:rsidR="004A3CD3" w:rsidRDefault="006C0598">
            <w:pPr>
              <w:spacing w:after="0" w:line="259" w:lineRule="auto"/>
              <w:ind w:left="0" w:right="0" w:firstLine="0"/>
            </w:pPr>
            <w:r>
              <w:t xml:space="preserve">COMMITTEE ON CLIMATE CHANGE, </w:t>
            </w:r>
            <w:r>
              <w:rPr>
                <w:i/>
              </w:rPr>
              <w:t>Net Zero. The UK's contribution to stopping global warming</w:t>
            </w:r>
            <w:r>
              <w:t xml:space="preserve">, London, May 2019 </w:t>
            </w:r>
          </w:p>
        </w:tc>
      </w:tr>
      <w:tr w:rsidR="00E933CB" w14:paraId="4B80D767"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4C35F028"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P.23 </w:t>
            </w:r>
          </w:p>
        </w:tc>
        <w:tc>
          <w:tcPr>
            <w:tcW w:w="1277" w:type="dxa"/>
            <w:tcBorders>
              <w:top w:val="single" w:sz="4" w:space="0" w:color="000000"/>
              <w:left w:val="single" w:sz="4" w:space="0" w:color="000000"/>
              <w:bottom w:val="single" w:sz="4" w:space="0" w:color="000000"/>
              <w:right w:val="single" w:sz="4" w:space="0" w:color="000000"/>
            </w:tcBorders>
          </w:tcPr>
          <w:p w14:paraId="4C4B0A78"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75DD728F" w14:textId="77777777" w:rsidR="004A3CD3" w:rsidRDefault="006C0598">
            <w:pPr>
              <w:spacing w:after="0" w:line="259" w:lineRule="auto"/>
              <w:ind w:left="0" w:right="0" w:firstLine="0"/>
            </w:pPr>
            <w:r>
              <w:t xml:space="preserve">'UK government commits to net zero CO2 emissions by 2050', </w:t>
            </w:r>
            <w:r>
              <w:rPr>
                <w:i/>
              </w:rPr>
              <w:t>Tyndall Center</w:t>
            </w:r>
            <w:r>
              <w:t xml:space="preserve">, 23 June 2019 </w:t>
            </w:r>
          </w:p>
        </w:tc>
      </w:tr>
      <w:tr w:rsidR="00E933CB" w14:paraId="1CE05E21" w14:textId="77777777">
        <w:trPr>
          <w:trHeight w:val="787"/>
        </w:trPr>
        <w:tc>
          <w:tcPr>
            <w:tcW w:w="674" w:type="dxa"/>
            <w:tcBorders>
              <w:top w:val="single" w:sz="4" w:space="0" w:color="000000"/>
              <w:left w:val="single" w:sz="4" w:space="0" w:color="000000"/>
              <w:bottom w:val="single" w:sz="4" w:space="0" w:color="000000"/>
              <w:right w:val="single" w:sz="4" w:space="0" w:color="000000"/>
            </w:tcBorders>
          </w:tcPr>
          <w:p w14:paraId="28D46336"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P.24 </w:t>
            </w:r>
          </w:p>
        </w:tc>
        <w:tc>
          <w:tcPr>
            <w:tcW w:w="1277" w:type="dxa"/>
            <w:tcBorders>
              <w:top w:val="single" w:sz="4" w:space="0" w:color="000000"/>
              <w:left w:val="single" w:sz="4" w:space="0" w:color="000000"/>
              <w:bottom w:val="single" w:sz="4" w:space="0" w:color="000000"/>
              <w:right w:val="single" w:sz="4" w:space="0" w:color="000000"/>
            </w:tcBorders>
          </w:tcPr>
          <w:p w14:paraId="76EECB75"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4200343A" w14:textId="77777777" w:rsidR="004A3CD3" w:rsidRDefault="006C0598">
            <w:pPr>
              <w:spacing w:after="0" w:line="259" w:lineRule="auto"/>
              <w:ind w:left="0" w:right="0" w:firstLine="0"/>
            </w:pPr>
            <w:r>
              <w:t xml:space="preserve">Non paper on Climate for the future of Europe, by France, Belgium, Denmark, Luxemburg, Netherlands, Portugal, Spain, Sweden, May 2019 </w:t>
            </w:r>
          </w:p>
        </w:tc>
      </w:tr>
      <w:tr w:rsidR="00E933CB" w14:paraId="5D122744" w14:textId="77777777">
        <w:trPr>
          <w:trHeight w:val="788"/>
        </w:trPr>
        <w:tc>
          <w:tcPr>
            <w:tcW w:w="674" w:type="dxa"/>
            <w:tcBorders>
              <w:top w:val="single" w:sz="4" w:space="0" w:color="000000"/>
              <w:left w:val="single" w:sz="4" w:space="0" w:color="000000"/>
              <w:bottom w:val="single" w:sz="4" w:space="0" w:color="000000"/>
              <w:right w:val="single" w:sz="4" w:space="0" w:color="000000"/>
            </w:tcBorders>
          </w:tcPr>
          <w:p w14:paraId="6687CF49"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P.25 </w:t>
            </w:r>
          </w:p>
        </w:tc>
        <w:tc>
          <w:tcPr>
            <w:tcW w:w="1277" w:type="dxa"/>
            <w:tcBorders>
              <w:top w:val="single" w:sz="4" w:space="0" w:color="000000"/>
              <w:left w:val="single" w:sz="4" w:space="0" w:color="000000"/>
              <w:bottom w:val="single" w:sz="4" w:space="0" w:color="000000"/>
              <w:right w:val="single" w:sz="4" w:space="0" w:color="000000"/>
            </w:tcBorders>
          </w:tcPr>
          <w:p w14:paraId="0327FF50"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307A40BC" w14:textId="77777777" w:rsidR="004A3CD3" w:rsidRDefault="006C0598">
            <w:pPr>
              <w:spacing w:after="0" w:line="259" w:lineRule="auto"/>
              <w:ind w:left="0" w:right="0" w:firstLine="0"/>
              <w:jc w:val="left"/>
            </w:pPr>
            <w:r>
              <w:t xml:space="preserve">X., "German parliament approves climate protection plan", Reuters 9 December 2019  </w:t>
            </w:r>
          </w:p>
        </w:tc>
      </w:tr>
      <w:tr w:rsidR="00E933CB" w14:paraId="5E013892"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1C794AAD"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P.26 </w:t>
            </w:r>
          </w:p>
        </w:tc>
        <w:tc>
          <w:tcPr>
            <w:tcW w:w="1277" w:type="dxa"/>
            <w:tcBorders>
              <w:top w:val="single" w:sz="4" w:space="0" w:color="000000"/>
              <w:left w:val="single" w:sz="4" w:space="0" w:color="000000"/>
              <w:bottom w:val="single" w:sz="4" w:space="0" w:color="000000"/>
              <w:right w:val="single" w:sz="4" w:space="0" w:color="000000"/>
            </w:tcBorders>
          </w:tcPr>
          <w:p w14:paraId="743282B2"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50CCDB2D" w14:textId="77777777" w:rsidR="004A3CD3" w:rsidRDefault="006C0598">
            <w:pPr>
              <w:spacing w:after="0" w:line="259" w:lineRule="auto"/>
              <w:ind w:left="0" w:right="0" w:firstLine="0"/>
              <w:jc w:val="left"/>
            </w:pPr>
            <w:r>
              <w:t xml:space="preserve">CCPI (Climate Change Performance Index) Results 2019 </w:t>
            </w:r>
          </w:p>
        </w:tc>
      </w:tr>
      <w:tr w:rsidR="00E933CB" w14:paraId="1AC788A1" w14:textId="77777777">
        <w:trPr>
          <w:trHeight w:val="1176"/>
        </w:trPr>
        <w:tc>
          <w:tcPr>
            <w:tcW w:w="674" w:type="dxa"/>
            <w:tcBorders>
              <w:top w:val="single" w:sz="4" w:space="0" w:color="000000"/>
              <w:left w:val="single" w:sz="4" w:space="0" w:color="000000"/>
              <w:bottom w:val="single" w:sz="4" w:space="0" w:color="000000"/>
              <w:right w:val="single" w:sz="4" w:space="0" w:color="000000"/>
            </w:tcBorders>
          </w:tcPr>
          <w:p w14:paraId="6FE4101A" w14:textId="77777777" w:rsidR="004A3CD3" w:rsidRDefault="006C0598">
            <w:pPr>
              <w:spacing w:after="0" w:line="259" w:lineRule="auto"/>
              <w:ind w:left="0" w:right="0" w:firstLine="0"/>
              <w:jc w:val="left"/>
            </w:pPr>
            <w:r>
              <w:rPr>
                <w:rFonts w:ascii="Century Gothic" w:eastAsia="Century Gothic" w:hAnsi="Century Gothic" w:cs="Century Gothic"/>
                <w:b/>
                <w:sz w:val="20"/>
              </w:rPr>
              <w:lastRenderedPageBreak/>
              <w:t xml:space="preserve">P.27 </w:t>
            </w:r>
          </w:p>
        </w:tc>
        <w:tc>
          <w:tcPr>
            <w:tcW w:w="1277" w:type="dxa"/>
            <w:tcBorders>
              <w:top w:val="single" w:sz="4" w:space="0" w:color="000000"/>
              <w:left w:val="single" w:sz="4" w:space="0" w:color="000000"/>
              <w:bottom w:val="single" w:sz="4" w:space="0" w:color="000000"/>
              <w:right w:val="single" w:sz="4" w:space="0" w:color="000000"/>
            </w:tcBorders>
          </w:tcPr>
          <w:p w14:paraId="1B4AB833" w14:textId="77777777" w:rsidR="004A3CD3" w:rsidRDefault="006C0598">
            <w:pPr>
              <w:spacing w:after="0" w:line="259" w:lineRule="auto"/>
              <w:ind w:left="0" w:right="82" w:firstLine="0"/>
              <w:jc w:val="center"/>
            </w:pPr>
            <w:r>
              <w:t xml:space="preserve">2019 </w:t>
            </w:r>
          </w:p>
        </w:tc>
        <w:tc>
          <w:tcPr>
            <w:tcW w:w="7230" w:type="dxa"/>
            <w:tcBorders>
              <w:top w:val="single" w:sz="4" w:space="0" w:color="000000"/>
              <w:left w:val="single" w:sz="4" w:space="0" w:color="000000"/>
              <w:bottom w:val="single" w:sz="4" w:space="0" w:color="000000"/>
              <w:right w:val="single" w:sz="4" w:space="0" w:color="000000"/>
            </w:tcBorders>
            <w:vAlign w:val="center"/>
          </w:tcPr>
          <w:p w14:paraId="1C892EA8" w14:textId="77777777" w:rsidR="004A3CD3" w:rsidRDefault="006C0598">
            <w:pPr>
              <w:spacing w:after="120" w:line="239" w:lineRule="auto"/>
              <w:ind w:left="0" w:right="0" w:firstLine="0"/>
              <w:jc w:val="left"/>
            </w:pPr>
            <w:r>
              <w:t xml:space="preserve">Summary conclusions of 16 December 2019 for Klimaatzaak vzw and co-applicants </w:t>
            </w:r>
          </w:p>
          <w:p w14:paraId="55CFAA5D" w14:textId="77777777" w:rsidR="004A3CD3" w:rsidRDefault="006C0598">
            <w:pPr>
              <w:spacing w:after="0" w:line="259" w:lineRule="auto"/>
              <w:ind w:left="0" w:right="0" w:firstLine="0"/>
              <w:jc w:val="left"/>
            </w:pPr>
            <w:r>
              <w:t xml:space="preserve">(Synthesis conclusions 2019) </w:t>
            </w:r>
          </w:p>
        </w:tc>
      </w:tr>
      <w:tr w:rsidR="00E933CB" w14:paraId="014BE570" w14:textId="77777777">
        <w:trPr>
          <w:trHeight w:val="518"/>
        </w:trPr>
        <w:tc>
          <w:tcPr>
            <w:tcW w:w="674" w:type="dxa"/>
            <w:tcBorders>
              <w:top w:val="single" w:sz="4" w:space="0" w:color="000000"/>
              <w:left w:val="single" w:sz="4" w:space="0" w:color="000000"/>
              <w:bottom w:val="single" w:sz="4" w:space="0" w:color="000000"/>
              <w:right w:val="single" w:sz="4" w:space="0" w:color="000000"/>
            </w:tcBorders>
          </w:tcPr>
          <w:p w14:paraId="73D14FF8" w14:textId="77777777" w:rsidR="004A3CD3" w:rsidRDefault="006C0598">
            <w:pPr>
              <w:spacing w:after="0" w:line="259" w:lineRule="auto"/>
              <w:ind w:left="0" w:right="0" w:firstLine="0"/>
              <w:jc w:val="left"/>
            </w:pPr>
            <w:r>
              <w:rPr>
                <w:rFonts w:ascii="Century Gothic" w:eastAsia="Century Gothic" w:hAnsi="Century Gothic" w:cs="Century Gothic"/>
                <w:b/>
                <w:sz w:val="20"/>
              </w:rPr>
              <w:t xml:space="preserve">P.28 </w:t>
            </w:r>
          </w:p>
        </w:tc>
        <w:tc>
          <w:tcPr>
            <w:tcW w:w="1277" w:type="dxa"/>
            <w:tcBorders>
              <w:top w:val="single" w:sz="4" w:space="0" w:color="000000"/>
              <w:left w:val="single" w:sz="4" w:space="0" w:color="000000"/>
              <w:bottom w:val="single" w:sz="4" w:space="0" w:color="000000"/>
              <w:right w:val="single" w:sz="4" w:space="0" w:color="000000"/>
            </w:tcBorders>
          </w:tcPr>
          <w:p w14:paraId="3FF5C1DF" w14:textId="77777777" w:rsidR="004A3CD3" w:rsidRDefault="006C0598">
            <w:pPr>
              <w:spacing w:after="0" w:line="259" w:lineRule="auto"/>
              <w:ind w:left="0" w:right="82" w:firstLine="0"/>
              <w:jc w:val="center"/>
            </w:pPr>
            <w:r>
              <w:t xml:space="preserve">2020 </w:t>
            </w:r>
          </w:p>
        </w:tc>
        <w:tc>
          <w:tcPr>
            <w:tcW w:w="7230" w:type="dxa"/>
            <w:tcBorders>
              <w:top w:val="single" w:sz="4" w:space="0" w:color="000000"/>
              <w:left w:val="single" w:sz="4" w:space="0" w:color="000000"/>
              <w:bottom w:val="single" w:sz="4" w:space="0" w:color="000000"/>
              <w:right w:val="single" w:sz="4" w:space="0" w:color="000000"/>
            </w:tcBorders>
            <w:vAlign w:val="center"/>
          </w:tcPr>
          <w:p w14:paraId="521B6DB0" w14:textId="77777777" w:rsidR="004A3CD3" w:rsidRDefault="006C0598">
            <w:pPr>
              <w:spacing w:after="0" w:line="259" w:lineRule="auto"/>
              <w:ind w:left="0" w:right="0" w:firstLine="0"/>
              <w:jc w:val="left"/>
            </w:pPr>
            <w:r>
              <w:t xml:space="preserve">Statutes Klimaatzaak vzw 2020 </w:t>
            </w:r>
          </w:p>
        </w:tc>
      </w:tr>
    </w:tbl>
    <w:p w14:paraId="57ADADC3" w14:textId="77777777" w:rsidR="00E933CB" w:rsidRDefault="00825B93">
      <w:pPr>
        <w:spacing w:after="0" w:line="259" w:lineRule="auto"/>
        <w:ind w:left="464" w:right="0" w:firstLine="0"/>
      </w:pPr>
      <w:r>
        <w:rPr>
          <w:b/>
          <w:sz w:val="44"/>
        </w:rPr>
        <w:t xml:space="preserve"> </w:t>
      </w:r>
    </w:p>
    <w:sectPr w:rsidR="00E933CB">
      <w:headerReference w:type="even" r:id="rId153"/>
      <w:headerReference w:type="default" r:id="rId154"/>
      <w:footerReference w:type="even" r:id="rId155"/>
      <w:footerReference w:type="default" r:id="rId156"/>
      <w:headerReference w:type="first" r:id="rId157"/>
      <w:footerReference w:type="first" r:id="rId158"/>
      <w:pgSz w:w="11906" w:h="16838"/>
      <w:pgMar w:top="773" w:right="613" w:bottom="1536" w:left="109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CD15C" w14:textId="77777777" w:rsidR="00B165DF" w:rsidRDefault="00B165DF">
      <w:pPr>
        <w:spacing w:after="0" w:line="240" w:lineRule="auto"/>
      </w:pPr>
      <w:r>
        <w:separator/>
      </w:r>
    </w:p>
  </w:endnote>
  <w:endnote w:type="continuationSeparator" w:id="0">
    <w:p w14:paraId="4CE894BC" w14:textId="77777777" w:rsidR="00B165DF" w:rsidRDefault="00B1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21B9" w14:textId="77777777" w:rsidR="004A3CD3" w:rsidRDefault="006C0598">
    <w:pPr>
      <w:spacing w:after="146" w:line="259" w:lineRule="auto"/>
      <w:ind w:left="228" w:right="0" w:firstLine="0"/>
      <w:jc w:val="center"/>
    </w:pPr>
    <w:r>
      <w:rPr>
        <w:noProof/>
      </w:rPr>
      <mc:AlternateContent>
        <mc:Choice Requires="wpg">
          <w:drawing>
            <wp:anchor distT="0" distB="0" distL="114300" distR="114300" simplePos="0" relativeHeight="251658240" behindDoc="0" locked="0" layoutInCell="1" allowOverlap="1" wp14:anchorId="08AEB110" wp14:editId="30CB5F19">
              <wp:simplePos x="0" y="0"/>
              <wp:positionH relativeFrom="page">
                <wp:posOffset>1332230</wp:posOffset>
              </wp:positionH>
              <wp:positionV relativeFrom="page">
                <wp:posOffset>9782250</wp:posOffset>
              </wp:positionV>
              <wp:extent cx="5347081" cy="6097"/>
              <wp:effectExtent l="0" t="0" r="0" b="0"/>
              <wp:wrapSquare wrapText="bothSides"/>
              <wp:docPr id="176116" name="Group 176116"/>
              <wp:cNvGraphicFramePr/>
              <a:graphic xmlns:a="http://schemas.openxmlformats.org/drawingml/2006/main">
                <a:graphicData uri="http://schemas.microsoft.com/office/word/2010/wordprocessingGroup">
                  <wpg:wgp>
                    <wpg:cNvGrpSpPr/>
                    <wpg:grpSpPr>
                      <a:xfrm>
                        <a:off x="0" y="0"/>
                        <a:ext cx="5347081" cy="6097"/>
                        <a:chOff x="0" y="0"/>
                        <a:chExt cx="5347081" cy="6097"/>
                      </a:xfrm>
                    </wpg:grpSpPr>
                    <wps:wsp>
                      <wps:cNvPr id="181190" name="Shape 181190"/>
                      <wps:cNvSpPr/>
                      <wps:spPr>
                        <a:xfrm>
                          <a:off x="0" y="0"/>
                          <a:ext cx="5347081" cy="9144"/>
                        </a:xfrm>
                        <a:custGeom>
                          <a:avLst/>
                          <a:gdLst/>
                          <a:ahLst/>
                          <a:cxnLst/>
                          <a:rect l="0" t="0" r="0" b="0"/>
                          <a:pathLst>
                            <a:path w="5347081" h="9144">
                              <a:moveTo>
                                <a:pt x="0" y="0"/>
                              </a:moveTo>
                              <a:lnTo>
                                <a:pt x="5347081" y="0"/>
                              </a:lnTo>
                              <a:lnTo>
                                <a:pt x="5347081" y="9144"/>
                              </a:lnTo>
                              <a:lnTo>
                                <a:pt x="0" y="9144"/>
                              </a:lnTo>
                              <a:lnTo>
                                <a:pt x="0" y="0"/>
                              </a:lnTo>
                            </a:path>
                          </a:pathLst>
                        </a:custGeom>
                        <a:ln w="0" cap="flat">
                          <a:miter lim="127000"/>
                        </a:ln>
                      </wps:spPr>
                      <wps:style>
                        <a:lnRef idx="0">
                          <a:srgbClr val="000000">
                            <a:alpha val="0"/>
                          </a:srgbClr>
                        </a:lnRef>
                        <a:fillRef idx="1">
                          <a:srgbClr val="7F8184"/>
                        </a:fillRef>
                        <a:effectRef idx="0">
                          <a:scrgbClr r="0" g="0" b="0"/>
                        </a:effectRef>
                        <a:fontRef idx="none"/>
                      </wps:style>
                      <wps:bodyPr/>
                    </wps:wsp>
                  </wpg:wgp>
                </a:graphicData>
              </a:graphic>
            </wp:anchor>
          </w:drawing>
        </mc:Choice>
        <mc:Fallback xmlns:a="http://schemas.openxmlformats.org/drawingml/2006/main">
          <w:pict>
            <v:group id="Group 176116" style="width:421.03pt;height:0.480042pt;position:absolute;mso-position-horizontal-relative:page;mso-position-horizontal:absolute;margin-left:104.9pt;mso-position-vertical-relative:page;margin-top:770.256pt;" coordsize="53470,60">
              <v:shape id="Shape 181191" style="position:absolute;width:53470;height:91;left:0;top:0;" coordsize="5347081,9144" path="m0,0l5347081,0l5347081,9144l0,9144l0,0">
                <v:stroke on="false" weight="0pt" color="#000000" opacity="0" miterlimit="10" joinstyle="miter" endcap="flat"/>
                <v:fill on="true" color="#7f8184"/>
              </v:shape>
              <w10:wrap type="square"/>
            </v:group>
          </w:pict>
        </mc:Fallback>
      </mc:AlternateContent>
    </w:r>
    <w:r>
      <w:fldChar w:fldCharType="begin"/>
    </w:r>
    <w:r>
      <w:instrText xml:space="preserve"> PAGE   \* MERGEFORMAT </w:instrText>
    </w:r>
    <w:r>
      <w:fldChar w:fldCharType="separate"/>
    </w:r>
    <w:r>
      <w:rPr>
        <w:rFonts w:ascii="Arial" w:eastAsia="Arial" w:hAnsi="Arial" w:cs="Arial"/>
        <w:color w:val="AAB72C"/>
        <w:sz w:val="18"/>
      </w:rPr>
      <w:t xml:space="preserve">2 </w:t>
    </w:r>
    <w:r>
      <w:rPr>
        <w:rFonts w:ascii="Arial" w:eastAsia="Arial" w:hAnsi="Arial" w:cs="Arial"/>
        <w:color w:val="AAB72C"/>
        <w:sz w:val="18"/>
      </w:rPr>
      <w:fldChar w:fldCharType="end"/>
    </w:r>
    <w:r>
      <w:rPr>
        <w:rFonts w:ascii="Arial" w:eastAsia="Arial" w:hAnsi="Arial" w:cs="Arial"/>
        <w:color w:val="303845"/>
        <w:sz w:val="18"/>
      </w:rPr>
      <w:t xml:space="preserve">| </w:t>
    </w:r>
    <w:fldSimple w:instr=" NUMPAGES   \* MERGEFORMAT ">
      <w:r>
        <w:rPr>
          <w:rFonts w:ascii="Arial" w:eastAsia="Arial" w:hAnsi="Arial" w:cs="Arial"/>
          <w:color w:val="303845"/>
          <w:sz w:val="18"/>
        </w:rPr>
        <w:t xml:space="preserve">89 </w:t>
      </w:r>
    </w:fldSimple>
  </w:p>
  <w:p w14:paraId="1E93B609" w14:textId="77777777" w:rsidR="00E933CB" w:rsidRDefault="00825B93">
    <w:pPr>
      <w:spacing w:after="0" w:line="259" w:lineRule="auto"/>
      <w:ind w:left="103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6F89A" w14:textId="77777777" w:rsidR="004A3CD3" w:rsidRDefault="006C0598">
    <w:pPr>
      <w:spacing w:after="146" w:line="259" w:lineRule="auto"/>
      <w:ind w:left="228" w:right="0" w:firstLine="0"/>
      <w:jc w:val="center"/>
    </w:pPr>
    <w:r>
      <w:rPr>
        <w:noProof/>
      </w:rPr>
      <mc:AlternateContent>
        <mc:Choice Requires="wpg">
          <w:drawing>
            <wp:anchor distT="0" distB="0" distL="114300" distR="114300" simplePos="0" relativeHeight="251659264" behindDoc="0" locked="0" layoutInCell="1" allowOverlap="1" wp14:anchorId="050C02F9" wp14:editId="38DAC979">
              <wp:simplePos x="0" y="0"/>
              <wp:positionH relativeFrom="page">
                <wp:posOffset>1332230</wp:posOffset>
              </wp:positionH>
              <wp:positionV relativeFrom="page">
                <wp:posOffset>9782250</wp:posOffset>
              </wp:positionV>
              <wp:extent cx="5347081" cy="6097"/>
              <wp:effectExtent l="0" t="0" r="0" b="0"/>
              <wp:wrapSquare wrapText="bothSides"/>
              <wp:docPr id="176101" name="Group 176101"/>
              <wp:cNvGraphicFramePr/>
              <a:graphic xmlns:a="http://schemas.openxmlformats.org/drawingml/2006/main">
                <a:graphicData uri="http://schemas.microsoft.com/office/word/2010/wordprocessingGroup">
                  <wpg:wgp>
                    <wpg:cNvGrpSpPr/>
                    <wpg:grpSpPr>
                      <a:xfrm>
                        <a:off x="0" y="0"/>
                        <a:ext cx="5347081" cy="6097"/>
                        <a:chOff x="0" y="0"/>
                        <a:chExt cx="5347081" cy="6097"/>
                      </a:xfrm>
                    </wpg:grpSpPr>
                    <wps:wsp>
                      <wps:cNvPr id="181188" name="Shape 181188"/>
                      <wps:cNvSpPr/>
                      <wps:spPr>
                        <a:xfrm>
                          <a:off x="0" y="0"/>
                          <a:ext cx="5347081" cy="9144"/>
                        </a:xfrm>
                        <a:custGeom>
                          <a:avLst/>
                          <a:gdLst/>
                          <a:ahLst/>
                          <a:cxnLst/>
                          <a:rect l="0" t="0" r="0" b="0"/>
                          <a:pathLst>
                            <a:path w="5347081" h="9144">
                              <a:moveTo>
                                <a:pt x="0" y="0"/>
                              </a:moveTo>
                              <a:lnTo>
                                <a:pt x="5347081" y="0"/>
                              </a:lnTo>
                              <a:lnTo>
                                <a:pt x="5347081" y="9144"/>
                              </a:lnTo>
                              <a:lnTo>
                                <a:pt x="0" y="9144"/>
                              </a:lnTo>
                              <a:lnTo>
                                <a:pt x="0" y="0"/>
                              </a:lnTo>
                            </a:path>
                          </a:pathLst>
                        </a:custGeom>
                        <a:ln w="0" cap="flat">
                          <a:miter lim="127000"/>
                        </a:ln>
                      </wps:spPr>
                      <wps:style>
                        <a:lnRef idx="0">
                          <a:srgbClr val="000000">
                            <a:alpha val="0"/>
                          </a:srgbClr>
                        </a:lnRef>
                        <a:fillRef idx="1">
                          <a:srgbClr val="7F8184"/>
                        </a:fillRef>
                        <a:effectRef idx="0">
                          <a:scrgbClr r="0" g="0" b="0"/>
                        </a:effectRef>
                        <a:fontRef idx="none"/>
                      </wps:style>
                      <wps:bodyPr/>
                    </wps:wsp>
                  </wpg:wgp>
                </a:graphicData>
              </a:graphic>
            </wp:anchor>
          </w:drawing>
        </mc:Choice>
        <mc:Fallback xmlns:a="http://schemas.openxmlformats.org/drawingml/2006/main">
          <w:pict>
            <v:group id="Group 176101" style="width:421.03pt;height:0.480042pt;position:absolute;mso-position-horizontal-relative:page;mso-position-horizontal:absolute;margin-left:104.9pt;mso-position-vertical-relative:page;margin-top:770.256pt;" coordsize="53470,60">
              <v:shape id="Shape 181189" style="position:absolute;width:53470;height:91;left:0;top:0;" coordsize="5347081,9144" path="m0,0l5347081,0l5347081,9144l0,9144l0,0">
                <v:stroke on="false" weight="0pt" color="#000000" opacity="0" miterlimit="10" joinstyle="miter" endcap="flat"/>
                <v:fill on="true" color="#7f8184"/>
              </v:shape>
              <w10:wrap type="square"/>
            </v:group>
          </w:pict>
        </mc:Fallback>
      </mc:AlternateContent>
    </w:r>
    <w:r>
      <w:fldChar w:fldCharType="begin"/>
    </w:r>
    <w:r>
      <w:instrText xml:space="preserve"> PAGE   \* MERGEFORMAT </w:instrText>
    </w:r>
    <w:r>
      <w:fldChar w:fldCharType="separate"/>
    </w:r>
    <w:r w:rsidRPr="006C0598">
      <w:rPr>
        <w:rFonts w:ascii="Arial" w:eastAsia="Arial" w:hAnsi="Arial" w:cs="Arial"/>
        <w:noProof/>
        <w:color w:val="AAB72C"/>
        <w:sz w:val="18"/>
      </w:rPr>
      <w:t>83</w:t>
    </w:r>
    <w:r>
      <w:rPr>
        <w:rFonts w:ascii="Arial" w:eastAsia="Arial" w:hAnsi="Arial" w:cs="Arial"/>
        <w:color w:val="AAB72C"/>
        <w:sz w:val="18"/>
      </w:rPr>
      <w:fldChar w:fldCharType="end"/>
    </w:r>
    <w:r>
      <w:rPr>
        <w:rFonts w:ascii="Arial" w:eastAsia="Arial" w:hAnsi="Arial" w:cs="Arial"/>
        <w:color w:val="303845"/>
        <w:sz w:val="18"/>
      </w:rPr>
      <w:t xml:space="preserve">| </w:t>
    </w:r>
    <w:fldSimple w:instr=" NUMPAGES   \* MERGEFORMAT ">
      <w:r w:rsidRPr="006C0598">
        <w:rPr>
          <w:rFonts w:ascii="Arial" w:eastAsia="Arial" w:hAnsi="Arial" w:cs="Arial"/>
          <w:noProof/>
          <w:color w:val="303845"/>
          <w:sz w:val="18"/>
        </w:rPr>
        <w:t>83</w:t>
      </w:r>
    </w:fldSimple>
  </w:p>
  <w:p w14:paraId="662C166B" w14:textId="77777777" w:rsidR="00E933CB" w:rsidRDefault="00825B93">
    <w:pPr>
      <w:spacing w:after="0" w:line="259" w:lineRule="auto"/>
      <w:ind w:left="103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1506A" w14:textId="77777777" w:rsidR="00E933CB" w:rsidRDefault="00E933C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556D4" w14:textId="77777777" w:rsidR="00B165DF" w:rsidRDefault="00B165DF">
      <w:pPr>
        <w:spacing w:after="0" w:line="249" w:lineRule="auto"/>
        <w:ind w:left="1030" w:right="805" w:hanging="283"/>
      </w:pPr>
      <w:r>
        <w:separator/>
      </w:r>
    </w:p>
  </w:footnote>
  <w:footnote w:type="continuationSeparator" w:id="0">
    <w:p w14:paraId="00E225BF" w14:textId="77777777" w:rsidR="00B165DF" w:rsidRDefault="00B165DF">
      <w:pPr>
        <w:spacing w:after="0" w:line="249" w:lineRule="auto"/>
        <w:ind w:left="1030" w:right="805" w:hanging="283"/>
      </w:pPr>
      <w:r>
        <w:continuationSeparator/>
      </w:r>
    </w:p>
  </w:footnote>
  <w:footnote w:id="1">
    <w:p w14:paraId="3C6FF795" w14:textId="77777777" w:rsidR="004A3CD3" w:rsidRDefault="006C0598">
      <w:pPr>
        <w:pStyle w:val="footnotedescription"/>
        <w:spacing w:after="0" w:line="249" w:lineRule="auto"/>
        <w:ind w:left="1030" w:right="805" w:hanging="283"/>
        <w:jc w:val="both"/>
      </w:pPr>
      <w:r>
        <w:rPr>
          <w:rStyle w:val="footnotemark"/>
        </w:rPr>
        <w:footnoteRef/>
      </w:r>
      <w:r>
        <w:t xml:space="preserve"> Of the Schedule A, attached to the trial citation, several individuals withdrew or died. There were also some duplicates. This was communicated to the Court of First Instance for the oral argument hearings. We return to the updated Appendix A, for which reason numbers 901, 1755, 2086, 2798, 2849, 4489, 4652 and 7716 have been deleted. We have taken this approach in order to facilitate comparison of the Appendices filed at trial and on appeal. </w:t>
      </w:r>
    </w:p>
  </w:footnote>
  <w:footnote w:id="2">
    <w:p w14:paraId="2E79D3B1" w14:textId="77777777" w:rsidR="004A3CD3" w:rsidRDefault="006C0598">
      <w:pPr>
        <w:pStyle w:val="footnotedescription"/>
        <w:tabs>
          <w:tab w:val="center" w:pos="777"/>
          <w:tab w:val="center" w:pos="1986"/>
        </w:tabs>
        <w:spacing w:after="0"/>
        <w:ind w:left="0"/>
      </w:pPr>
      <w:r>
        <w:rPr>
          <w:rStyle w:val="footnotemark"/>
        </w:rPr>
        <w:footnoteRef/>
      </w:r>
      <w:r>
        <w:tab/>
        <w:t xml:space="preserve">Judgement undertaken, p. 50. </w:t>
      </w:r>
    </w:p>
  </w:footnote>
  <w:footnote w:id="3">
    <w:p w14:paraId="12BAE87F" w14:textId="77777777" w:rsidR="004A3CD3" w:rsidRDefault="006C0598">
      <w:pPr>
        <w:pStyle w:val="footnotedescription"/>
        <w:tabs>
          <w:tab w:val="center" w:pos="777"/>
          <w:tab w:val="center" w:pos="1428"/>
        </w:tabs>
        <w:spacing w:after="114"/>
        <w:ind w:left="0"/>
      </w:pPr>
      <w:r>
        <w:rPr>
          <w:rStyle w:val="footnotemark"/>
        </w:rPr>
        <w:footnoteRef/>
      </w:r>
      <w:r>
        <w:tab/>
        <w:t xml:space="preserve">Exhibit P.27. </w:t>
      </w:r>
    </w:p>
  </w:footnote>
  <w:footnote w:id="4">
    <w:p w14:paraId="277616A5" w14:textId="77777777" w:rsidR="004A3CD3" w:rsidRDefault="006C0598">
      <w:pPr>
        <w:pStyle w:val="footnotedescription"/>
        <w:spacing w:after="0" w:line="242" w:lineRule="auto"/>
        <w:ind w:left="1030" w:right="804" w:hanging="283"/>
        <w:jc w:val="both"/>
      </w:pPr>
      <w:r>
        <w:rPr>
          <w:rStyle w:val="footnotemark"/>
        </w:rPr>
        <w:footnoteRef/>
      </w:r>
      <w:r>
        <w:rPr>
          <w:i/>
        </w:rPr>
        <w:t xml:space="preserve"> For </w:t>
      </w:r>
      <w:r>
        <w:t>example, the organization's website: https:</w:t>
      </w:r>
      <w:hyperlink r:id="rId1">
        <w:r>
          <w:t xml:space="preserve">//www.ipcc.ch/about/history/. </w:t>
        </w:r>
      </w:hyperlink>
      <w:r>
        <w:t>The initial task described in Resolution 43/53 approved by the United Nations General Assembly on December 6, 1988, was to provide "</w:t>
      </w:r>
      <w:r>
        <w:rPr>
          <w:i/>
        </w:rPr>
        <w:t>internationally coordinated scientific assessments of the magnitude, timing and potential effects of climate change on the environment and on socio-economic conditions</w:t>
      </w:r>
      <w:r>
        <w:t>" and to formulate "</w:t>
      </w:r>
      <w:r>
        <w:rPr>
          <w:i/>
        </w:rPr>
        <w:t>realistic strategies for dealing with these effects</w:t>
      </w:r>
      <w:r>
        <w:t xml:space="preserve">". </w:t>
      </w:r>
    </w:p>
  </w:footnote>
  <w:footnote w:id="5">
    <w:p w14:paraId="784F8EDB" w14:textId="77777777" w:rsidR="004A3CD3" w:rsidRDefault="006C0598">
      <w:pPr>
        <w:pStyle w:val="footnotedescription"/>
        <w:tabs>
          <w:tab w:val="center" w:pos="777"/>
          <w:tab w:val="center" w:pos="2434"/>
        </w:tabs>
        <w:spacing w:after="117"/>
        <w:ind w:left="0"/>
      </w:pPr>
      <w:r>
        <w:rPr>
          <w:rStyle w:val="footnotemark"/>
        </w:rPr>
        <w:footnoteRef/>
      </w:r>
      <w:r>
        <w:tab/>
      </w:r>
      <w:hyperlink r:id="rId2">
        <w:r>
          <w:rPr>
            <w:u w:val="single" w:color="000000"/>
          </w:rPr>
          <w:t>https://www.ipcc.ch/about/structure/</w:t>
        </w:r>
      </w:hyperlink>
      <w:hyperlink r:id="rId3">
        <w:r>
          <w:t xml:space="preserve">  </w:t>
        </w:r>
      </w:hyperlink>
    </w:p>
  </w:footnote>
  <w:footnote w:id="6">
    <w:p w14:paraId="1F285C60" w14:textId="77777777" w:rsidR="004A3CD3" w:rsidRDefault="006C0598">
      <w:pPr>
        <w:pStyle w:val="footnotedescription"/>
        <w:tabs>
          <w:tab w:val="center" w:pos="777"/>
          <w:tab w:val="center" w:pos="3068"/>
        </w:tabs>
        <w:spacing w:after="120"/>
        <w:ind w:left="0"/>
      </w:pPr>
      <w:r>
        <w:rPr>
          <w:rStyle w:val="footnotemark"/>
        </w:rPr>
        <w:footnoteRef/>
      </w:r>
      <w:r>
        <w:tab/>
        <w:t xml:space="preserve">Exhibit B.3 . Principles Governing IPCC Work.  </w:t>
      </w:r>
    </w:p>
    <w:p w14:paraId="6A6C893E" w14:textId="77777777" w:rsidR="004A3CD3" w:rsidRDefault="00B165DF">
      <w:pPr>
        <w:pStyle w:val="footnotedescription"/>
        <w:spacing w:after="127" w:line="241" w:lineRule="auto"/>
        <w:ind w:left="1030" w:hanging="283"/>
      </w:pPr>
      <w:hyperlink r:id="rId4">
        <w:r w:rsidR="006C0598">
          <w:rPr>
            <w:u w:val="single" w:color="000000"/>
          </w:rPr>
          <w:t xml:space="preserve"> See </w:t>
        </w:r>
      </w:hyperlink>
      <w:r w:rsidR="006C0598">
        <w:tab/>
        <w:t>https://www.ipcc.ch/documentation/proce</w:t>
      </w:r>
      <w:hyperlink r:id="rId5">
        <w:r w:rsidR="006C0598">
          <w:t xml:space="preserve">dures/, </w:t>
        </w:r>
      </w:hyperlink>
      <w:hyperlink r:id="rId6">
        <w:r w:rsidR="006C0598">
          <w:rPr>
            <w:u w:val="single" w:color="000000"/>
          </w:rPr>
          <w:t xml:space="preserve">https://www.ipcc.ch/site/assets/uploads/2018/09/ipcc </w:t>
        </w:r>
      </w:hyperlink>
      <w:hyperlink r:id="rId7"/>
      <w:hyperlink r:id="rId8">
        <w:r w:rsidR="006C0598">
          <w:rPr>
            <w:u w:val="single" w:color="000000"/>
          </w:rPr>
          <w:t xml:space="preserve">principles.pdf </w:t>
        </w:r>
      </w:hyperlink>
    </w:p>
  </w:footnote>
  <w:footnote w:id="7">
    <w:p w14:paraId="60D9FC78" w14:textId="77777777" w:rsidR="004A3CD3" w:rsidRDefault="006C0598">
      <w:pPr>
        <w:pStyle w:val="footnotedescription"/>
        <w:tabs>
          <w:tab w:val="center" w:pos="777"/>
          <w:tab w:val="center" w:pos="2662"/>
        </w:tabs>
        <w:spacing w:after="0"/>
        <w:ind w:left="0"/>
      </w:pPr>
      <w:r>
        <w:rPr>
          <w:rStyle w:val="footnotemark"/>
        </w:rPr>
        <w:footnoteRef/>
      </w:r>
      <w:r>
        <w:tab/>
        <w:t xml:space="preserve">See </w:t>
      </w:r>
      <w:hyperlink r:id="rId9">
        <w:r>
          <w:t xml:space="preserve">https://www.ipcc.ch/about/structure/ </w:t>
        </w:r>
      </w:hyperlink>
      <w:hyperlink r:id="rId10">
        <w:r>
          <w:rPr>
            <w:u w:val="single" w:color="000000"/>
          </w:rPr>
          <w:t xml:space="preserve">. </w:t>
        </w:r>
      </w:hyperlink>
    </w:p>
  </w:footnote>
  <w:footnote w:id="8">
    <w:p w14:paraId="25B7657B" w14:textId="77777777" w:rsidR="004A3CD3" w:rsidRDefault="006C0598">
      <w:pPr>
        <w:pStyle w:val="footnotedescription"/>
        <w:spacing w:after="118" w:line="251" w:lineRule="auto"/>
        <w:ind w:left="1030" w:right="674" w:hanging="283"/>
        <w:jc w:val="both"/>
      </w:pPr>
      <w:r>
        <w:rPr>
          <w:rStyle w:val="footnotemark"/>
        </w:rPr>
        <w:footnoteRef/>
      </w:r>
      <w:r>
        <w:t xml:space="preserve"> </w:t>
      </w:r>
      <w:r>
        <w:rPr>
          <w:i/>
        </w:rPr>
        <w:t>"Climate Change 2021: The Physical Science Basis</w:t>
      </w:r>
      <w:r>
        <w:t xml:space="preserve">," published August 6, 2021 in English. Exhibit B.29, IPCC 2021, AR6 WG I, and Exhibit B.30, IPCC 2021, AR6 WG I, SPM. </w:t>
      </w:r>
      <w:r>
        <w:rPr>
          <w:i/>
        </w:rPr>
        <w:t xml:space="preserve"> </w:t>
      </w:r>
    </w:p>
  </w:footnote>
  <w:footnote w:id="9">
    <w:p w14:paraId="07BCEA04" w14:textId="77777777" w:rsidR="004A3CD3" w:rsidRDefault="006C0598">
      <w:pPr>
        <w:pStyle w:val="footnotedescription"/>
        <w:spacing w:after="124" w:line="245" w:lineRule="auto"/>
        <w:ind w:left="437" w:right="454"/>
        <w:jc w:val="center"/>
      </w:pPr>
      <w:r>
        <w:rPr>
          <w:rStyle w:val="footnotemark"/>
        </w:rPr>
        <w:footnoteRef/>
      </w:r>
      <w:r>
        <w:t xml:space="preserve"> </w:t>
      </w:r>
      <w:r>
        <w:rPr>
          <w:i/>
        </w:rPr>
        <w:t>"</w:t>
      </w:r>
      <w:r>
        <w:t xml:space="preserve">AR6 WG II - Impacts, Adaptation and Vulnerability" to be published in February 2022; "AR6 WG III - Mitigation of Climate Change" to be published in March 2022; "AR6 Synthesis Report: Climate Change 2022" to be published in September 2022. </w:t>
      </w:r>
    </w:p>
  </w:footnote>
  <w:footnote w:id="10">
    <w:p w14:paraId="756A561E" w14:textId="77777777" w:rsidR="004A3CD3" w:rsidRDefault="006C0598">
      <w:pPr>
        <w:pStyle w:val="footnotedescription"/>
        <w:tabs>
          <w:tab w:val="center" w:pos="807"/>
          <w:tab w:val="center" w:pos="3595"/>
        </w:tabs>
        <w:spacing w:after="0"/>
        <w:ind w:left="0"/>
      </w:pPr>
      <w:r>
        <w:rPr>
          <w:rStyle w:val="footnotemark"/>
        </w:rPr>
        <w:footnoteRef/>
      </w:r>
      <w:r>
        <w:tab/>
        <w:t xml:space="preserve">IPCC 2018, SR 1.5°C, Exhibit B.23; IPCC 2018, SR 1.5°C, SPM, Exhibit B.24. </w:t>
      </w:r>
    </w:p>
  </w:footnote>
  <w:footnote w:id="11">
    <w:p w14:paraId="0B76C5B9" w14:textId="77777777" w:rsidR="004A3CD3" w:rsidRDefault="006C0598">
      <w:pPr>
        <w:pStyle w:val="footnotedescription"/>
        <w:spacing w:after="112"/>
      </w:pPr>
      <w:r>
        <w:rPr>
          <w:rStyle w:val="footnotemark"/>
        </w:rPr>
        <w:footnoteRef/>
      </w:r>
      <w:r>
        <w:t xml:space="preserve"> IPCC 2007, AR4 , Exhibits B.4 to B.11. </w:t>
      </w:r>
    </w:p>
  </w:footnote>
  <w:footnote w:id="12">
    <w:p w14:paraId="668BF164" w14:textId="77777777" w:rsidR="004A3CD3" w:rsidRDefault="006C0598">
      <w:pPr>
        <w:pStyle w:val="footnotedescription"/>
        <w:spacing w:after="117"/>
      </w:pPr>
      <w:r>
        <w:rPr>
          <w:rStyle w:val="footnotemark"/>
        </w:rPr>
        <w:footnoteRef/>
      </w:r>
      <w:r>
        <w:t xml:space="preserve"> IPCC 2014, AR5, Exhibits B.15 to B.22,. </w:t>
      </w:r>
    </w:p>
  </w:footnote>
  <w:footnote w:id="13">
    <w:p w14:paraId="21B88975" w14:textId="77777777" w:rsidR="004A3CD3" w:rsidRDefault="006C0598">
      <w:pPr>
        <w:pStyle w:val="footnotedescription"/>
        <w:tabs>
          <w:tab w:val="center" w:pos="807"/>
          <w:tab w:val="center" w:pos="2611"/>
        </w:tabs>
        <w:spacing w:after="110"/>
        <w:ind w:left="0"/>
      </w:pPr>
      <w:r>
        <w:rPr>
          <w:rStyle w:val="footnotemark"/>
        </w:rPr>
        <w:footnoteRef/>
      </w:r>
      <w:r>
        <w:tab/>
        <w:t xml:space="preserve">IPCC 2021, AR6 - WG I, Parts B.29 and B.30.  </w:t>
      </w:r>
    </w:p>
  </w:footnote>
  <w:footnote w:id="14">
    <w:p w14:paraId="3F7E1835" w14:textId="77777777" w:rsidR="004A3CD3" w:rsidRDefault="006C0598">
      <w:pPr>
        <w:pStyle w:val="footnotedescription"/>
        <w:spacing w:after="106"/>
      </w:pPr>
      <w:r>
        <w:rPr>
          <w:rStyle w:val="footnotemark"/>
        </w:rPr>
        <w:footnoteRef/>
      </w:r>
      <w:r>
        <w:t xml:space="preserve"> IPCC 2018, SR 1.5°C, Exhibits B.23 and B.24. </w:t>
      </w:r>
    </w:p>
  </w:footnote>
  <w:footnote w:id="15">
    <w:p w14:paraId="637386C3" w14:textId="77777777" w:rsidR="004A3CD3" w:rsidRDefault="006C0598">
      <w:pPr>
        <w:pStyle w:val="footnotedescription"/>
        <w:spacing w:after="116"/>
      </w:pPr>
      <w:r>
        <w:rPr>
          <w:rStyle w:val="footnotemark"/>
        </w:rPr>
        <w:footnoteRef/>
      </w:r>
      <w:r>
        <w:t xml:space="preserve"> </w:t>
      </w:r>
      <w:r>
        <w:rPr>
          <w:i/>
        </w:rPr>
        <w:t>Supra</w:t>
      </w:r>
      <w:r>
        <w:t xml:space="preserve">, no. 10. </w:t>
      </w:r>
    </w:p>
  </w:footnote>
  <w:footnote w:id="16">
    <w:p w14:paraId="6205DB0D" w14:textId="77777777" w:rsidR="004A3CD3" w:rsidRDefault="006C0598">
      <w:pPr>
        <w:pStyle w:val="footnotedescription"/>
        <w:spacing w:after="112"/>
      </w:pPr>
      <w:r>
        <w:rPr>
          <w:rStyle w:val="footnotemark"/>
        </w:rPr>
        <w:footnoteRef/>
      </w:r>
      <w:r>
        <w:rPr>
          <w:i/>
        </w:rPr>
        <w:t xml:space="preserve"> Supra</w:t>
      </w:r>
      <w:r>
        <w:t xml:space="preserve">, </w:t>
      </w:r>
      <w:r>
        <w:rPr>
          <w:i/>
        </w:rPr>
        <w:t>ibid</w:t>
      </w:r>
      <w:r>
        <w:t xml:space="preserve">. </w:t>
      </w:r>
    </w:p>
  </w:footnote>
  <w:footnote w:id="17">
    <w:p w14:paraId="15B1775D" w14:textId="77777777" w:rsidR="004A3CD3" w:rsidRDefault="006C0598">
      <w:pPr>
        <w:pStyle w:val="footnotedescription"/>
        <w:spacing w:after="0"/>
      </w:pPr>
      <w:r>
        <w:rPr>
          <w:rStyle w:val="footnotemark"/>
        </w:rPr>
        <w:footnoteRef/>
      </w:r>
      <w:r>
        <w:t xml:space="preserve"> See. December 16, 2019 Summary Findings, No. 38, Exhibit P.27. </w:t>
      </w:r>
    </w:p>
  </w:footnote>
  <w:footnote w:id="18">
    <w:p w14:paraId="543CE501" w14:textId="77777777" w:rsidR="004A3CD3" w:rsidRDefault="006C0598">
      <w:pPr>
        <w:pStyle w:val="footnotedescription"/>
        <w:tabs>
          <w:tab w:val="center" w:pos="807"/>
          <w:tab w:val="center" w:pos="2246"/>
        </w:tabs>
        <w:spacing w:after="0"/>
        <w:ind w:left="0"/>
      </w:pPr>
      <w:r>
        <w:rPr>
          <w:rStyle w:val="footnotemark"/>
        </w:rPr>
        <w:footnoteRef/>
      </w:r>
      <w:r>
        <w:tab/>
      </w:r>
      <w:hyperlink r:id="rId11">
        <w:r>
          <w:rPr>
            <w:u w:val="single" w:color="000000"/>
          </w:rPr>
          <w:t>https://www.co2.earth/daily</w:t>
        </w:r>
      </w:hyperlink>
      <w:hyperlink r:id="rId12">
        <w:r>
          <w:rPr>
            <w:u w:val="single" w:color="000000"/>
          </w:rPr>
          <w:t>-</w:t>
        </w:r>
      </w:hyperlink>
      <w:hyperlink r:id="rId13">
        <w:r>
          <w:rPr>
            <w:u w:val="single" w:color="000000"/>
          </w:rPr>
          <w:t>co2</w:t>
        </w:r>
      </w:hyperlink>
      <w:hyperlink r:id="rId14">
        <w:r>
          <w:t xml:space="preserve"> </w:t>
        </w:r>
      </w:hyperlink>
    </w:p>
  </w:footnote>
  <w:footnote w:id="19">
    <w:p w14:paraId="3F2A365F" w14:textId="77777777" w:rsidR="004A3CD3" w:rsidRDefault="006C0598">
      <w:pPr>
        <w:pStyle w:val="footnotedescription"/>
        <w:tabs>
          <w:tab w:val="center" w:pos="807"/>
          <w:tab w:val="center" w:pos="2661"/>
        </w:tabs>
        <w:spacing w:after="0"/>
        <w:ind w:left="0"/>
      </w:pPr>
      <w:r>
        <w:rPr>
          <w:rStyle w:val="footnotemark"/>
        </w:rPr>
        <w:footnoteRef/>
      </w:r>
      <w:r>
        <w:tab/>
        <w:t xml:space="preserve">IPCC 2021, AR6 WG I - SPM, p. 7, Exhibit B.30. </w:t>
      </w:r>
    </w:p>
  </w:footnote>
  <w:footnote w:id="20">
    <w:p w14:paraId="5174C0A3" w14:textId="77777777" w:rsidR="004A3CD3" w:rsidRDefault="006C0598">
      <w:pPr>
        <w:pStyle w:val="footnotedescription"/>
        <w:tabs>
          <w:tab w:val="center" w:pos="807"/>
          <w:tab w:val="center" w:pos="2410"/>
        </w:tabs>
        <w:spacing w:after="117"/>
        <w:ind w:left="0"/>
      </w:pPr>
      <w:r>
        <w:rPr>
          <w:rStyle w:val="footnotemark"/>
        </w:rPr>
        <w:footnoteRef/>
      </w:r>
      <w:r>
        <w:tab/>
        <w:t xml:space="preserve">IPCC 2014, AR5 SYR, p. 47, Exhibit B.21. </w:t>
      </w:r>
    </w:p>
  </w:footnote>
  <w:footnote w:id="21">
    <w:p w14:paraId="070F1D29" w14:textId="77777777" w:rsidR="004A3CD3" w:rsidRDefault="006C0598">
      <w:pPr>
        <w:pStyle w:val="footnotedescription"/>
        <w:spacing w:after="125" w:line="243" w:lineRule="auto"/>
        <w:ind w:left="1030" w:right="801" w:hanging="283"/>
        <w:jc w:val="both"/>
      </w:pPr>
      <w:r>
        <w:rPr>
          <w:rStyle w:val="footnotemark"/>
        </w:rPr>
        <w:footnoteRef/>
      </w:r>
      <w:r>
        <w:rPr>
          <w:i/>
        </w:rPr>
        <w:t xml:space="preserve"> </w:t>
      </w:r>
      <w:r>
        <w:t>According to the IPCC, the CO</w:t>
      </w:r>
      <w:r>
        <w:rPr>
          <w:vertAlign w:val="subscript"/>
        </w:rPr>
        <w:t>2</w:t>
      </w:r>
      <w:r>
        <w:rPr>
          <w:i/>
        </w:rPr>
        <w:t xml:space="preserve"> </w:t>
      </w:r>
      <w:r>
        <w:t xml:space="preserve">equivalent emission (CO </w:t>
      </w:r>
      <w:r>
        <w:rPr>
          <w:vertAlign w:val="subscript"/>
        </w:rPr>
        <w:t>2</w:t>
      </w:r>
      <w:r>
        <w:t>-eq) is the "</w:t>
      </w:r>
      <w:r>
        <w:rPr>
          <w:i/>
        </w:rPr>
        <w:t xml:space="preserve">amount of carbon dioxide (CO </w:t>
      </w:r>
      <w:r>
        <w:rPr>
          <w:i/>
          <w:vertAlign w:val="subscript"/>
        </w:rPr>
        <w:t>2</w:t>
      </w:r>
      <w:r>
        <w:rPr>
          <w:i/>
        </w:rPr>
        <w:t>) emitted that would cause the same integrated radiative forcing, for a given time horizon, as an amount emitted from a single or multiple greenhouse gases (GHGs). The CO equivalent emission</w:t>
      </w:r>
      <w:r>
        <w:rPr>
          <w:i/>
          <w:vertAlign w:val="subscript"/>
        </w:rPr>
        <w:t>2</w:t>
      </w:r>
      <w:r>
        <w:rPr>
          <w:i/>
        </w:rPr>
        <w:t>obtained by multiplying the emission of a GHG by its global warming potential (GWP) for the time horizon considered</w:t>
      </w:r>
      <w:r>
        <w:t xml:space="preserve">. […]». </w:t>
      </w:r>
    </w:p>
  </w:footnote>
  <w:footnote w:id="22">
    <w:p w14:paraId="69DE6F9B" w14:textId="77777777" w:rsidR="004A3CD3" w:rsidRDefault="006C0598">
      <w:pPr>
        <w:pStyle w:val="footnotedescription"/>
        <w:tabs>
          <w:tab w:val="center" w:pos="807"/>
          <w:tab w:val="center" w:pos="4017"/>
        </w:tabs>
        <w:spacing w:after="111"/>
        <w:ind w:left="0"/>
      </w:pPr>
      <w:r>
        <w:rPr>
          <w:rStyle w:val="footnotemark"/>
        </w:rPr>
        <w:footnoteRef/>
      </w:r>
      <w:r>
        <w:tab/>
        <w:t xml:space="preserve">Conclusie Procureur-Generaal bij de Hoge Raad 2019 (Urgenda), pt 1.2, Exhibit O.9. </w:t>
      </w:r>
    </w:p>
  </w:footnote>
  <w:footnote w:id="23">
    <w:p w14:paraId="156C729D" w14:textId="77777777" w:rsidR="004A3CD3" w:rsidRDefault="006C0598">
      <w:pPr>
        <w:pStyle w:val="footnotedescription"/>
        <w:spacing w:after="129" w:line="244" w:lineRule="auto"/>
        <w:ind w:left="1030" w:right="803" w:hanging="283"/>
        <w:jc w:val="both"/>
      </w:pPr>
      <w:r>
        <w:rPr>
          <w:rStyle w:val="footnotemark"/>
        </w:rPr>
        <w:footnoteRef/>
      </w:r>
      <w:r>
        <w:rPr>
          <w:i/>
        </w:rPr>
        <w:t xml:space="preserve"> </w:t>
      </w:r>
      <w:r>
        <w:t xml:space="preserve"> IPCC 2013, AR5 WG I, p. 1033, Exhibit B.15, "</w:t>
      </w:r>
      <w:r>
        <w:rPr>
          <w:i/>
        </w:rPr>
        <w:t xml:space="preserve">The principal driver of long-term warming is total emissions of </w:t>
      </w:r>
      <w:r>
        <w:t>CO</w:t>
      </w:r>
      <w:r>
        <w:rPr>
          <w:vertAlign w:val="subscript"/>
        </w:rPr>
        <w:t>2</w:t>
      </w:r>
      <w:r>
        <w:rPr>
          <w:i/>
        </w:rPr>
        <w:t xml:space="preserve"> and the two quantities are approximately linearly related</w:t>
      </w:r>
      <w:r>
        <w:t>"; p.1113, "</w:t>
      </w:r>
      <w:r>
        <w:rPr>
          <w:i/>
        </w:rPr>
        <w:t xml:space="preserve">the near linear relationship between cumulative </w:t>
      </w:r>
      <w:r>
        <w:t>CO</w:t>
      </w:r>
      <w:r>
        <w:rPr>
          <w:vertAlign w:val="subscript"/>
        </w:rPr>
        <w:t>2</w:t>
      </w:r>
      <w:r>
        <w:rPr>
          <w:i/>
        </w:rPr>
        <w:t xml:space="preserve"> emissions and peak global mean temperature is well established in the literature...</w:t>
      </w:r>
      <w:r>
        <w:t>" and its free translation: p. 1033, "</w:t>
      </w:r>
      <w:r>
        <w:rPr>
          <w:i/>
        </w:rPr>
        <w:t xml:space="preserve">The principal driver of long-term warming is total emissions of CO </w:t>
      </w:r>
      <w:r>
        <w:rPr>
          <w:i/>
          <w:vertAlign w:val="subscript"/>
        </w:rPr>
        <w:t>2</w:t>
      </w:r>
      <w:r>
        <w:rPr>
          <w:i/>
        </w:rPr>
        <w:t>and the two quantities are approximately linearly related</w:t>
      </w:r>
      <w:r>
        <w:t>"</w:t>
      </w:r>
      <w:r>
        <w:rPr>
          <w:i/>
        </w:rPr>
        <w:t xml:space="preserve">; </w:t>
      </w:r>
      <w:r>
        <w:t>p.1113</w:t>
      </w:r>
      <w:r>
        <w:rPr>
          <w:i/>
        </w:rPr>
        <w:t xml:space="preserve">, </w:t>
      </w:r>
      <w:r>
        <w:t>"</w:t>
      </w:r>
      <w:r>
        <w:rPr>
          <w:i/>
        </w:rPr>
        <w:t xml:space="preserve">the near linear relationship between cumulative CO emissions </w:t>
      </w:r>
      <w:r>
        <w:rPr>
          <w:i/>
          <w:vertAlign w:val="subscript"/>
        </w:rPr>
        <w:t>2</w:t>
      </w:r>
      <w:r>
        <w:rPr>
          <w:i/>
        </w:rPr>
        <w:t>and peak global mean temperature is well established in the literature.</w:t>
      </w:r>
      <w:r>
        <w:t xml:space="preserve">.." </w:t>
      </w:r>
    </w:p>
    <w:p w14:paraId="7C75BAB0" w14:textId="77777777" w:rsidR="004A3CD3" w:rsidRDefault="006C0598">
      <w:pPr>
        <w:pStyle w:val="footnotedescription"/>
        <w:tabs>
          <w:tab w:val="center" w:pos="747"/>
          <w:tab w:val="center" w:pos="4660"/>
        </w:tabs>
        <w:spacing w:after="0"/>
        <w:ind w:left="0"/>
      </w:pPr>
      <w:r>
        <w:rPr>
          <w:sz w:val="22"/>
        </w:rPr>
        <w:tab/>
      </w:r>
      <w:r>
        <w:tab/>
        <w:t xml:space="preserve"> See also IPCC 2013, AR5 WG I, SPM, p. 25, Exhibit B.16 and IPCC 2014, AR5 SYR, p. 8, Exhibit B.21 </w:t>
      </w:r>
    </w:p>
  </w:footnote>
  <w:footnote w:id="24">
    <w:p w14:paraId="4B87E0FB" w14:textId="77777777" w:rsidR="004A3CD3" w:rsidRDefault="006C0598">
      <w:pPr>
        <w:pStyle w:val="footnotedescription"/>
        <w:spacing w:after="0"/>
      </w:pPr>
      <w:r>
        <w:rPr>
          <w:rStyle w:val="footnotemark"/>
        </w:rPr>
        <w:footnoteRef/>
      </w:r>
      <w:r>
        <w:t xml:space="preserve">  IPCC 2021, AR6 - WG I, SPM, p. 37, Exhibit B.30. </w:t>
      </w:r>
    </w:p>
  </w:footnote>
  <w:footnote w:id="25">
    <w:p w14:paraId="36CEDE84" w14:textId="77777777" w:rsidR="004A3CD3" w:rsidRDefault="006C0598">
      <w:pPr>
        <w:pStyle w:val="footnotedescription"/>
        <w:spacing w:after="123" w:line="241" w:lineRule="auto"/>
        <w:ind w:left="1030" w:right="803" w:hanging="283"/>
        <w:jc w:val="both"/>
      </w:pPr>
      <w:r>
        <w:rPr>
          <w:rStyle w:val="footnotemark"/>
        </w:rPr>
        <w:footnoteRef/>
      </w:r>
      <w:r>
        <w:t xml:space="preserve"> IPCC 2018, SR 1.5°C, SPM, p. 5, Exhibit B.24  "</w:t>
      </w:r>
      <w:r>
        <w:rPr>
          <w:i/>
        </w:rPr>
        <w:t>Warming from anthropogenic emissions from the pre-industrial period to the present will persist for centuries to millennia and will continue to cause further long-term changes in the climate system, such as sea level rise, with associated impacts (high confidence), ...</w:t>
      </w:r>
      <w:r>
        <w:t>", free translation: "</w:t>
      </w:r>
      <w:r>
        <w:rPr>
          <w:i/>
        </w:rPr>
        <w:t>Warming by anthropogenic emissions from the pre-industrial period to the present will persist for centuries to millennia and will continue to cause further long-term changes in the climate system, such as sea level rise, with associated impacts (high confidence).</w:t>
      </w:r>
      <w:r>
        <w:t>"</w:t>
      </w:r>
    </w:p>
  </w:footnote>
  <w:footnote w:id="26">
    <w:p w14:paraId="393B45EB" w14:textId="77777777" w:rsidR="004A3CD3" w:rsidRDefault="006C0598">
      <w:pPr>
        <w:pStyle w:val="footnotedescription"/>
        <w:tabs>
          <w:tab w:val="center" w:pos="807"/>
          <w:tab w:val="center" w:pos="2501"/>
        </w:tabs>
        <w:spacing w:after="112"/>
        <w:ind w:left="0"/>
      </w:pPr>
      <w:r>
        <w:rPr>
          <w:rStyle w:val="footnotemark"/>
        </w:rPr>
        <w:footnoteRef/>
      </w:r>
      <w:r>
        <w:tab/>
        <w:t xml:space="preserve">IPCC 2018, SR 1.5°C, SPM, p. 4, Exhibit 24. </w:t>
      </w:r>
    </w:p>
  </w:footnote>
  <w:footnote w:id="27">
    <w:p w14:paraId="31F62BA7" w14:textId="77777777" w:rsidR="004A3CD3" w:rsidRDefault="006C0598">
      <w:pPr>
        <w:pStyle w:val="footnotedescription"/>
        <w:spacing w:after="113"/>
      </w:pPr>
      <w:r>
        <w:rPr>
          <w:rStyle w:val="footnotemark"/>
        </w:rPr>
        <w:footnoteRef/>
      </w:r>
      <w:r>
        <w:t xml:space="preserve"> </w:t>
      </w:r>
      <w:r>
        <w:rPr>
          <w:i/>
        </w:rPr>
        <w:t>Supra</w:t>
      </w:r>
      <w:r>
        <w:t xml:space="preserve">, nos. 24-25. </w:t>
      </w:r>
    </w:p>
  </w:footnote>
  <w:footnote w:id="28">
    <w:p w14:paraId="4BF572FE" w14:textId="77777777" w:rsidR="004A3CD3" w:rsidRDefault="006C0598">
      <w:pPr>
        <w:pStyle w:val="footnotedescription"/>
        <w:spacing w:after="113"/>
      </w:pPr>
      <w:r>
        <w:rPr>
          <w:rStyle w:val="footnotemark"/>
        </w:rPr>
        <w:footnoteRef/>
      </w:r>
      <w:r>
        <w:t xml:space="preserve"> Decision 1/CP.13, Exhibit H.5.  </w:t>
      </w:r>
    </w:p>
  </w:footnote>
  <w:footnote w:id="29">
    <w:p w14:paraId="2249657F" w14:textId="77777777" w:rsidR="004A3CD3" w:rsidRDefault="006C0598">
      <w:pPr>
        <w:pStyle w:val="footnotedescription"/>
        <w:spacing w:after="0" w:line="241" w:lineRule="auto"/>
        <w:ind w:left="1030" w:right="802" w:hanging="283"/>
        <w:jc w:val="both"/>
      </w:pPr>
      <w:r>
        <w:rPr>
          <w:rStyle w:val="footnotemark"/>
        </w:rPr>
        <w:footnoteRef/>
      </w:r>
      <w:r>
        <w:t xml:space="preserve"> Decision 1/CP.15, p. 5 and p. 8, Exhibit H.7 : "</w:t>
      </w:r>
      <w:r>
        <w:rPr>
          <w:i/>
        </w:rPr>
        <w:t xml:space="preserve">In order to achieve </w:t>
      </w:r>
      <w:r>
        <w:rPr>
          <w:b/>
          <w:i/>
        </w:rPr>
        <w:t xml:space="preserve">the ultimate objective of the Convention </w:t>
      </w:r>
      <w:r>
        <w:rPr>
          <w:i/>
        </w:rPr>
        <w:t xml:space="preserve">to stabilize greenhouse gas concentrations in the atmosphere at a level that would prevent dangerous anthropogenic interference with the climate system, we intend, taking into account </w:t>
      </w:r>
      <w:r>
        <w:rPr>
          <w:b/>
          <w:i/>
        </w:rPr>
        <w:t xml:space="preserve">the scientific view </w:t>
      </w:r>
      <w:r>
        <w:rPr>
          <w:i/>
        </w:rPr>
        <w:t xml:space="preserve">that </w:t>
      </w:r>
      <w:r>
        <w:rPr>
          <w:b/>
          <w:i/>
        </w:rPr>
        <w:t>global temperature increase should be limited to 2°C</w:t>
      </w:r>
      <w:r>
        <w:rPr>
          <w:i/>
        </w:rPr>
        <w:t>, to enhance our long-term cooperative action to combat climate change, on the basis of equity and with a view to sustainable development</w:t>
      </w:r>
      <w:r>
        <w:t>"; "</w:t>
      </w:r>
      <w:r>
        <w:rPr>
          <w:i/>
        </w:rPr>
        <w:t xml:space="preserve">We call for an assessment of the implementation of this agreement by 2015 </w:t>
      </w:r>
      <w:r>
        <w:rPr>
          <w:b/>
          <w:i/>
        </w:rPr>
        <w:t>in light of the ultimate objective of the Convention</w:t>
      </w:r>
      <w:r>
        <w:rPr>
          <w:i/>
        </w:rPr>
        <w:t xml:space="preserve">. This would include consideration of strengthening the long-term goal taking into account various elements of </w:t>
      </w:r>
      <w:r>
        <w:rPr>
          <w:b/>
          <w:i/>
        </w:rPr>
        <w:t xml:space="preserve">scientific work, in particular with regard </w:t>
      </w:r>
      <w:r>
        <w:rPr>
          <w:i/>
        </w:rPr>
        <w:t xml:space="preserve">to a temperature increase of </w:t>
      </w:r>
      <w:r>
        <w:rPr>
          <w:b/>
          <w:i/>
        </w:rPr>
        <w:t>1.5°C.</w:t>
      </w:r>
      <w:r>
        <w:t xml:space="preserve">" </w:t>
      </w:r>
    </w:p>
  </w:footnote>
  <w:footnote w:id="30">
    <w:p w14:paraId="74C79033" w14:textId="77777777" w:rsidR="004A3CD3" w:rsidRDefault="006C0598">
      <w:pPr>
        <w:pStyle w:val="footnotedescription"/>
        <w:spacing w:after="119" w:line="240" w:lineRule="auto"/>
        <w:ind w:left="1030" w:right="801" w:hanging="283"/>
        <w:jc w:val="both"/>
      </w:pPr>
      <w:r>
        <w:rPr>
          <w:rStyle w:val="footnotemark"/>
        </w:rPr>
        <w:footnoteRef/>
      </w:r>
      <w:r>
        <w:rPr>
          <w:i/>
        </w:rPr>
        <w:t xml:space="preserve"> </w:t>
      </w:r>
      <w:r>
        <w:t xml:space="preserve"> Exhibit H.32: "</w:t>
      </w:r>
      <w:r>
        <w:rPr>
          <w:i/>
        </w:rPr>
        <w:t xml:space="preserve">The </w:t>
      </w:r>
      <w:r>
        <w:rPr>
          <w:b/>
          <w:i/>
        </w:rPr>
        <w:t xml:space="preserve">2°C </w:t>
      </w:r>
      <w:r>
        <w:rPr>
          <w:i/>
        </w:rPr>
        <w:t xml:space="preserve">threshold should be seen as an ultimate threshold [...] The concept of a 'guardrail', where 2°C of warming is considered safe, is </w:t>
      </w:r>
      <w:r>
        <w:rPr>
          <w:b/>
          <w:i/>
        </w:rPr>
        <w:t xml:space="preserve">inadequate </w:t>
      </w:r>
      <w:r>
        <w:rPr>
          <w:i/>
        </w:rPr>
        <w:t xml:space="preserve">and would be better seen as an upper limit, a defensive line that must be rigorously defended, although less warming would be preferable" (...) and </w:t>
      </w:r>
      <w:r>
        <w:t>"</w:t>
      </w:r>
      <w:r>
        <w:rPr>
          <w:i/>
        </w:rPr>
        <w:t xml:space="preserve">Limiting global warming to below </w:t>
      </w:r>
      <w:r>
        <w:rPr>
          <w:b/>
          <w:i/>
        </w:rPr>
        <w:t xml:space="preserve">1.5°C </w:t>
      </w:r>
      <w:r>
        <w:rPr>
          <w:i/>
        </w:rPr>
        <w:t xml:space="preserve">would imply a number of benefits that would approach a safer 'guardrail'. It would avoid or reduce risks, particularly to food production or unique and threatened systems such as coral reefs or many parts of the cryosphere, including the risk of sea level rise [...] Parties could decide to choose a more conservative path by limiting global warming as far below 2°C as possible, reaffirming the notion of a defensive line or even a buffer zone keeping warming well below 2°C. </w:t>
      </w:r>
      <w:r>
        <w:t>The last sentence is a free translation of : "</w:t>
      </w:r>
      <w:r>
        <w:rPr>
          <w:i/>
        </w:rPr>
        <w:t xml:space="preserve">L]imiting global warming to below 1.5°C would come with several advantages in terms of coming closer to a safer 'guardrail'. It would avoid or reduce risks, for example, to food production or unique and threatened systems such as coral reefs or many parts of the cryosphere, including the risk of sea level rise [...] Parties may wish to take a precautionary route by aiming for limiting global warming as far below 2°C as possible, reaffirming the notion of a defense line or even a buffer zone keeping warming well below 2°C. </w:t>
      </w:r>
    </w:p>
  </w:footnote>
  <w:footnote w:id="31">
    <w:p w14:paraId="26F3F747" w14:textId="77777777" w:rsidR="004A3CD3" w:rsidRDefault="006C0598">
      <w:pPr>
        <w:pStyle w:val="footnotedescription"/>
        <w:spacing w:after="0" w:line="242" w:lineRule="auto"/>
        <w:ind w:left="1030" w:right="807" w:hanging="283"/>
        <w:jc w:val="both"/>
      </w:pPr>
      <w:r>
        <w:rPr>
          <w:rStyle w:val="footnotemark"/>
        </w:rPr>
        <w:footnoteRef/>
      </w:r>
      <w:r>
        <w:rPr>
          <w:i/>
        </w:rPr>
        <w:t xml:space="preserve"> </w:t>
      </w:r>
      <w:r>
        <w:t xml:space="preserve">Article 2.1.a of the Paris Agreement, Exhibit H.21: </w:t>
      </w:r>
      <w:r>
        <w:rPr>
          <w:i/>
        </w:rPr>
        <w:t xml:space="preserve">"1. This Agreement ... aims to strengthen the global response to the threat of climate change ... including by ... containing the increase in global average temperature to </w:t>
      </w:r>
      <w:r>
        <w:rPr>
          <w:b/>
          <w:i/>
        </w:rPr>
        <w:t xml:space="preserve">well below 2°C above </w:t>
      </w:r>
      <w:r>
        <w:rPr>
          <w:i/>
        </w:rPr>
        <w:t xml:space="preserve">pre-industrial levels and continuing action to limit the increase in temperature to </w:t>
      </w:r>
      <w:r>
        <w:rPr>
          <w:b/>
          <w:i/>
        </w:rPr>
        <w:t xml:space="preserve">1.5°C above </w:t>
      </w:r>
      <w:r>
        <w:rPr>
          <w:i/>
        </w:rPr>
        <w:t>pre-industrial levels, with the understanding that this would significantly reduce the risks and impacts of climate change</w:t>
      </w:r>
      <w:r>
        <w:t>;</w:t>
      </w:r>
      <w:r>
        <w:rPr>
          <w:i/>
        </w:rPr>
        <w:t xml:space="preserve">" </w:t>
      </w:r>
    </w:p>
  </w:footnote>
  <w:footnote w:id="32">
    <w:p w14:paraId="78623748" w14:textId="77777777" w:rsidR="004A3CD3" w:rsidRDefault="006C0598">
      <w:pPr>
        <w:pStyle w:val="footnotedescription"/>
        <w:spacing w:after="111"/>
      </w:pPr>
      <w:r>
        <w:rPr>
          <w:rStyle w:val="footnotemark"/>
        </w:rPr>
        <w:footnoteRef/>
      </w:r>
      <w:r>
        <w:t xml:space="preserve"> IPCC 2018, SR 1.5°C, p. 254, Exhibit B.23. </w:t>
      </w:r>
    </w:p>
  </w:footnote>
  <w:footnote w:id="33">
    <w:p w14:paraId="6AEFB2D9" w14:textId="77777777" w:rsidR="004A3CD3" w:rsidRDefault="006C0598">
      <w:pPr>
        <w:pStyle w:val="footnotedescription"/>
        <w:spacing w:after="0"/>
      </w:pPr>
      <w:r>
        <w:rPr>
          <w:rStyle w:val="footnotemark"/>
        </w:rPr>
        <w:footnoteRef/>
      </w:r>
      <w:r>
        <w:t xml:space="preserve"> Summary Findings 2019, no. 54, Exhibit P.27. </w:t>
      </w:r>
    </w:p>
  </w:footnote>
  <w:footnote w:id="34">
    <w:p w14:paraId="08AD2C0A" w14:textId="77777777" w:rsidR="004A3CD3" w:rsidRDefault="006C0598">
      <w:pPr>
        <w:pStyle w:val="footnotedescription"/>
        <w:tabs>
          <w:tab w:val="center" w:pos="807"/>
          <w:tab w:val="center" w:pos="2054"/>
        </w:tabs>
        <w:spacing w:after="117"/>
        <w:ind w:left="0"/>
      </w:pPr>
      <w:r>
        <w:rPr>
          <w:rStyle w:val="footnotemark"/>
        </w:rPr>
        <w:footnoteRef/>
      </w:r>
      <w:r>
        <w:tab/>
        <w:t>Decision 1/CP.13, Exhibit H.5</w:t>
      </w:r>
      <w:r>
        <w:rPr>
          <w:i/>
        </w:rPr>
        <w:t xml:space="preserve">. </w:t>
      </w:r>
    </w:p>
  </w:footnote>
  <w:footnote w:id="35">
    <w:p w14:paraId="767F4330" w14:textId="77777777" w:rsidR="004A3CD3" w:rsidRDefault="006C0598">
      <w:pPr>
        <w:pStyle w:val="footnotedescription"/>
        <w:tabs>
          <w:tab w:val="center" w:pos="807"/>
          <w:tab w:val="center" w:pos="3126"/>
        </w:tabs>
        <w:spacing w:after="0"/>
        <w:ind w:left="0"/>
      </w:pPr>
      <w:r>
        <w:rPr>
          <w:rStyle w:val="footnotemark"/>
        </w:rPr>
        <w:footnoteRef/>
      </w:r>
      <w:r>
        <w:tab/>
        <w:t xml:space="preserve">Decision 1/CP.13, preamble, Exhibit H.5; emphasis added. </w:t>
      </w:r>
    </w:p>
  </w:footnote>
  <w:footnote w:id="36">
    <w:p w14:paraId="0B417430" w14:textId="77777777" w:rsidR="004A3CD3" w:rsidRDefault="006C0598">
      <w:pPr>
        <w:pStyle w:val="footnotedescription"/>
        <w:spacing w:after="0" w:line="248" w:lineRule="auto"/>
        <w:ind w:left="1030" w:right="801" w:hanging="283"/>
        <w:jc w:val="both"/>
      </w:pPr>
      <w:r>
        <w:rPr>
          <w:rStyle w:val="footnotemark"/>
        </w:rPr>
        <w:footnoteRef/>
      </w:r>
      <w:r>
        <w:rPr>
          <w:i/>
        </w:rPr>
        <w:t xml:space="preserve"> Limiting temperature increases to 2°C above pre-industrial levels can only be achieved at the lowest end of the concentration interval found in the scenarios of category I (i.e. about 450 ppm CO </w:t>
      </w:r>
      <w:r>
        <w:rPr>
          <w:i/>
          <w:vertAlign w:val="subscript"/>
        </w:rPr>
        <w:t>2</w:t>
      </w:r>
      <w:r>
        <w:rPr>
          <w:i/>
        </w:rPr>
        <w:t>-eq using "best estimate" assumptions)</w:t>
      </w:r>
      <w:r>
        <w:t xml:space="preserve">", in: IPCC 2007, AR4 WG III, p. 229, Exhibit B.8. </w:t>
      </w:r>
    </w:p>
  </w:footnote>
  <w:footnote w:id="37">
    <w:p w14:paraId="691310B4" w14:textId="77777777" w:rsidR="004A3CD3" w:rsidRDefault="006C0598">
      <w:pPr>
        <w:pStyle w:val="footnotedescription"/>
        <w:spacing w:after="0" w:line="261" w:lineRule="auto"/>
        <w:ind w:left="1030" w:right="588" w:hanging="283"/>
        <w:jc w:val="both"/>
      </w:pPr>
      <w:r>
        <w:rPr>
          <w:rStyle w:val="footnotemark"/>
        </w:rPr>
        <w:footnoteRef/>
      </w:r>
      <w:r>
        <w:t xml:space="preserve"> Report of the Ad Hoc Working Group on Further Commitments for Annex I Parties under the Kyoto Protocol on its fourth session, held in Vienna from 27 to 31 August 2007, p. 5, No. 19, Exhibit H.6. </w:t>
      </w:r>
    </w:p>
  </w:footnote>
  <w:footnote w:id="38">
    <w:p w14:paraId="1B74BD3B" w14:textId="77777777" w:rsidR="004A3CD3" w:rsidRDefault="006C0598">
      <w:pPr>
        <w:pStyle w:val="footnotedescription"/>
        <w:spacing w:after="103" w:line="256" w:lineRule="auto"/>
        <w:ind w:left="1030" w:right="580" w:hanging="283"/>
        <w:jc w:val="both"/>
      </w:pPr>
      <w:r>
        <w:rPr>
          <w:rStyle w:val="footnotemark"/>
        </w:rPr>
        <w:footnoteRef/>
      </w:r>
      <w:r>
        <w:t xml:space="preserve"> Report of the Ad Hoc Working Group on Further Commitments for Annex I Parties under the Kyoto Protocol, p. 18, no. 9, Exhibit H.8. </w:t>
      </w:r>
    </w:p>
  </w:footnote>
  <w:footnote w:id="39">
    <w:p w14:paraId="688C533A" w14:textId="77777777" w:rsidR="004A3CD3" w:rsidRDefault="006C0598">
      <w:pPr>
        <w:pStyle w:val="footnotedescription"/>
        <w:spacing w:after="117" w:line="242" w:lineRule="auto"/>
        <w:ind w:left="1030" w:right="804" w:hanging="283"/>
        <w:jc w:val="both"/>
      </w:pPr>
      <w:r>
        <w:rPr>
          <w:rStyle w:val="footnotemark"/>
        </w:rPr>
        <w:footnoteRef/>
      </w:r>
      <w:r>
        <w:rPr>
          <w:i/>
        </w:rPr>
        <w:t xml:space="preserve"> </w:t>
      </w:r>
      <w:r>
        <w:t xml:space="preserve"> Preamble to Decision 1/CMP.6, Exhibit H.11: "</w:t>
      </w:r>
      <w:r>
        <w:rPr>
          <w:i/>
        </w:rPr>
        <w:t>also recognizing that the contribution of WGIII to the 4</w:t>
      </w:r>
      <w:r>
        <w:rPr>
          <w:i/>
          <w:vertAlign w:val="superscript"/>
        </w:rPr>
        <w:t>th</w:t>
      </w:r>
      <w:r>
        <w:rPr>
          <w:i/>
        </w:rPr>
        <w:t xml:space="preserve"> Assessment Report of the IPCC, 2007: Mitigation Climate Change, indicates that achieving the lowest levels assessed by the IPCC to date and its corresponding potential damage limitation would require Annex I Parties as a group to reduce emission in a range of </w:t>
      </w:r>
      <w:r>
        <w:rPr>
          <w:b/>
          <w:i/>
        </w:rPr>
        <w:t xml:space="preserve">25-40% </w:t>
      </w:r>
      <w:r>
        <w:rPr>
          <w:i/>
        </w:rPr>
        <w:t>below 1990 levels by 2020, through means that may be available to these parties to reach their emission reduction targets</w:t>
      </w:r>
      <w:r>
        <w:t xml:space="preserve">.   </w:t>
      </w:r>
    </w:p>
  </w:footnote>
  <w:footnote w:id="40">
    <w:p w14:paraId="6A61CD42" w14:textId="77777777" w:rsidR="004A3CD3" w:rsidRDefault="006C0598">
      <w:pPr>
        <w:pStyle w:val="footnotedescription"/>
        <w:spacing w:after="114" w:line="245" w:lineRule="auto"/>
        <w:ind w:left="1030" w:right="807" w:hanging="283"/>
        <w:jc w:val="both"/>
      </w:pPr>
      <w:r>
        <w:rPr>
          <w:rStyle w:val="footnotemark"/>
        </w:rPr>
        <w:footnoteRef/>
      </w:r>
      <w:r>
        <w:rPr>
          <w:i/>
        </w:rPr>
        <w:t xml:space="preserve"> </w:t>
      </w:r>
      <w:r>
        <w:t xml:space="preserve"> Decision 1/CMP.7, preamble, Exhibit H.14: "</w:t>
      </w:r>
      <w:r>
        <w:rPr>
          <w:i/>
        </w:rPr>
        <w:t xml:space="preserve">Aiming to ensure that aggregate emissions of greenhouse gases by Parties included in </w:t>
      </w:r>
      <w:r>
        <w:rPr>
          <w:b/>
          <w:i/>
        </w:rPr>
        <w:t xml:space="preserve">Annex I </w:t>
      </w:r>
      <w:r>
        <w:rPr>
          <w:i/>
        </w:rPr>
        <w:t xml:space="preserve">are reduced by </w:t>
      </w:r>
      <w:r>
        <w:rPr>
          <w:b/>
          <w:i/>
        </w:rPr>
        <w:t xml:space="preserve">at least 25-40 </w:t>
      </w:r>
      <w:r>
        <w:rPr>
          <w:i/>
        </w:rPr>
        <w:t>per cent below 1990 levels by 2020, noting in this regard the relevance of the review referred to in chapter V of decision 1/CP.16 to be concluded by 2015</w:t>
      </w:r>
      <w:r>
        <w:t xml:space="preserve">. </w:t>
      </w:r>
    </w:p>
  </w:footnote>
  <w:footnote w:id="41">
    <w:p w14:paraId="450C3A1D" w14:textId="77777777" w:rsidR="004A3CD3" w:rsidRDefault="006C0598">
      <w:pPr>
        <w:pStyle w:val="footnotedescription"/>
        <w:spacing w:after="118" w:line="242" w:lineRule="auto"/>
        <w:ind w:left="1030" w:right="803" w:hanging="283"/>
        <w:jc w:val="both"/>
      </w:pPr>
      <w:r>
        <w:rPr>
          <w:rStyle w:val="footnotemark"/>
        </w:rPr>
        <w:footnoteRef/>
      </w:r>
      <w:r>
        <w:rPr>
          <w:i/>
        </w:rPr>
        <w:t xml:space="preserve"> </w:t>
      </w:r>
      <w:r>
        <w:t xml:space="preserve"> Report of the CMP.8, held in Doha from 26 November to 8 December 2012, p. 3, No. 7, Exhibit H.17: "</w:t>
      </w:r>
      <w:r>
        <w:rPr>
          <w:i/>
        </w:rPr>
        <w:t xml:space="preserve">Decides that each Party included in Annex I will revisit its quantified emission limitation and reduction commitment for the second commitment period at the latest by 2014. In order to increase the ambition of its commitment , such Party may decrease the percentage inscribed in the third column of Annex B of its quantified emission limitation and reduction commitment, in line with an aggregate reduction of greenhouse gas emissions not controlled by the Montreal Protocol by Parties included in </w:t>
      </w:r>
      <w:r>
        <w:rPr>
          <w:b/>
          <w:i/>
        </w:rPr>
        <w:t xml:space="preserve">Annex I </w:t>
      </w:r>
      <w:r>
        <w:rPr>
          <w:i/>
        </w:rPr>
        <w:t xml:space="preserve">of </w:t>
      </w:r>
      <w:r>
        <w:rPr>
          <w:b/>
          <w:i/>
        </w:rPr>
        <w:t xml:space="preserve">at least 25 to 40 </w:t>
      </w:r>
      <w:r>
        <w:rPr>
          <w:i/>
        </w:rPr>
        <w:t>per cent below 1990 levels by 2020</w:t>
      </w:r>
      <w:r>
        <w:t xml:space="preserve">."    </w:t>
      </w:r>
    </w:p>
  </w:footnote>
  <w:footnote w:id="42">
    <w:p w14:paraId="011E3BE9" w14:textId="77777777" w:rsidR="004A3CD3" w:rsidRDefault="006C0598">
      <w:pPr>
        <w:pStyle w:val="footnotedescription"/>
        <w:spacing w:after="112" w:line="247" w:lineRule="auto"/>
        <w:ind w:left="1030" w:right="377" w:hanging="283"/>
        <w:jc w:val="both"/>
      </w:pPr>
      <w:r>
        <w:rPr>
          <w:rStyle w:val="footnotemark"/>
        </w:rPr>
        <w:footnoteRef/>
      </w:r>
      <w:r>
        <w:t xml:space="preserve">  Decision 1/CP.19, Report of COP-19, held in Warsaw from 11 to 23 November 2013, p. 5, paragraph 4.c, Exhibit H.18. </w:t>
      </w:r>
    </w:p>
  </w:footnote>
  <w:footnote w:id="43">
    <w:p w14:paraId="7FED1728" w14:textId="77777777" w:rsidR="004A3CD3" w:rsidRDefault="006C0598">
      <w:pPr>
        <w:pStyle w:val="footnotedescription"/>
        <w:spacing w:after="117" w:line="248" w:lineRule="auto"/>
        <w:ind w:left="1030" w:right="636" w:hanging="283"/>
        <w:jc w:val="both"/>
      </w:pPr>
      <w:r>
        <w:rPr>
          <w:rStyle w:val="footnotemark"/>
        </w:rPr>
        <w:footnoteRef/>
      </w:r>
      <w:r>
        <w:t xml:space="preserve"> Decision 1/CP.20, Report of the COP-20, held in Lima from 1 to 14 December 2014, p. 4, No. 18, Exhibit H.20 (cross-referencing Doha Decision 1/CMP.8 by cross-referencing paragraph 4.c of Warsaw Decision 1/CP.19). </w:t>
      </w:r>
    </w:p>
  </w:footnote>
  <w:footnote w:id="44">
    <w:p w14:paraId="459E5E9B" w14:textId="77777777" w:rsidR="004A3CD3" w:rsidRDefault="006C0598">
      <w:pPr>
        <w:pStyle w:val="footnotedescription"/>
        <w:spacing w:after="0" w:line="253" w:lineRule="auto"/>
        <w:ind w:left="1030" w:right="585" w:hanging="283"/>
        <w:jc w:val="both"/>
      </w:pPr>
      <w:r>
        <w:rPr>
          <w:rStyle w:val="footnotemark"/>
        </w:rPr>
        <w:footnoteRef/>
      </w:r>
      <w:r>
        <w:t xml:space="preserve"> Decision 1/CP.21, p. 15, No. 105(c), Exhibit H.21 (same approach: reference to Doha Decision 1/CMP.8 by reference to paragraph 4(c) of Warsaw Decision 1/CP.19). </w:t>
      </w:r>
    </w:p>
  </w:footnote>
  <w:footnote w:id="45">
    <w:p w14:paraId="67A03619" w14:textId="77777777" w:rsidR="004A3CD3" w:rsidRDefault="006C0598">
      <w:pPr>
        <w:pStyle w:val="footnotedescription"/>
        <w:tabs>
          <w:tab w:val="center" w:pos="807"/>
          <w:tab w:val="center" w:pos="3453"/>
        </w:tabs>
        <w:spacing w:after="104"/>
        <w:ind w:left="0"/>
      </w:pPr>
      <w:r>
        <w:rPr>
          <w:rStyle w:val="footnotemark"/>
        </w:rPr>
        <w:footnoteRef/>
      </w:r>
      <w:r>
        <w:tab/>
        <w:t xml:space="preserve">IPCC 2007, AR4 WG III, H.3 pp. 227 and 229 (Table 3.10), Exhibit B.8 </w:t>
      </w:r>
    </w:p>
  </w:footnote>
  <w:footnote w:id="46">
    <w:p w14:paraId="08485C77" w14:textId="77777777" w:rsidR="004A3CD3" w:rsidRDefault="006C0598">
      <w:pPr>
        <w:pStyle w:val="footnotedescription"/>
        <w:spacing w:after="0" w:line="249" w:lineRule="auto"/>
        <w:ind w:left="1030" w:right="806" w:hanging="283"/>
        <w:jc w:val="both"/>
      </w:pPr>
      <w:r>
        <w:rPr>
          <w:rStyle w:val="footnotemark"/>
        </w:rPr>
        <w:footnoteRef/>
      </w:r>
      <w:r>
        <w:t xml:space="preserve"> Resolution of 3 December 2009 in view of the UN Climate Change Conference in Copenhagen from 7 to 18 December 2009, House of Representatives, </w:t>
      </w:r>
      <w:r>
        <w:rPr>
          <w:i/>
        </w:rPr>
        <w:t xml:space="preserve">Doc. Parl. </w:t>
      </w:r>
      <w:r>
        <w:t xml:space="preserve">No. 52 2263/002, p. 4, Exhibit F.13. </w:t>
      </w:r>
    </w:p>
  </w:footnote>
  <w:footnote w:id="47">
    <w:p w14:paraId="5B0FEC9D" w14:textId="77777777" w:rsidR="004A3CD3" w:rsidRDefault="006C0598">
      <w:pPr>
        <w:pStyle w:val="footnotedescription"/>
        <w:tabs>
          <w:tab w:val="center" w:pos="807"/>
          <w:tab w:val="center" w:pos="3185"/>
        </w:tabs>
        <w:spacing w:after="107"/>
        <w:ind w:left="0"/>
      </w:pPr>
      <w:r>
        <w:rPr>
          <w:rStyle w:val="footnotemark"/>
        </w:rPr>
        <w:footnoteRef/>
      </w:r>
      <w:r>
        <w:tab/>
        <w:t xml:space="preserve">See </w:t>
      </w:r>
      <w:hyperlink r:id="rId15">
        <w:r>
          <w:t xml:space="preserve">http://docs.vlaamsparlement.be/pfile?id=103030580. </w:t>
        </w:r>
      </w:hyperlink>
    </w:p>
  </w:footnote>
  <w:footnote w:id="48">
    <w:p w14:paraId="0CF52365" w14:textId="77777777" w:rsidR="004A3CD3" w:rsidRDefault="006C0598">
      <w:pPr>
        <w:pStyle w:val="footnotedescription"/>
        <w:spacing w:after="119" w:line="242" w:lineRule="auto"/>
        <w:ind w:left="1030" w:right="805" w:hanging="283"/>
        <w:jc w:val="both"/>
      </w:pPr>
      <w:r>
        <w:rPr>
          <w:rStyle w:val="footnotemark"/>
        </w:rPr>
        <w:footnoteRef/>
      </w:r>
      <w:r>
        <w:rPr>
          <w:i/>
        </w:rPr>
        <w:t xml:space="preserve"> </w:t>
      </w:r>
      <w:r>
        <w:t xml:space="preserve"> Minaraad, Advies van 26 november 2009 over de Klimaattop in Kopenhagen, p.5, Exhibit C.5: "</w:t>
      </w:r>
      <w:r>
        <w:rPr>
          <w:i/>
        </w:rPr>
        <w:t>Volgens het vierde evaluatierapport moeten de groep ontwikkelde landen hun emissies in 2020 met 25 à 40% teruggedrongen hebben ten opzichte van 1990 om de temperatuurstijging te beperken tot 2 à 2,4°C. De Minaraad...wijst erop dat de benodigde emissiereducties voor de ontwikkelde landen zich eerder aan het hoogste einde van deze range (25 à 40%) zullen bevinden</w:t>
      </w:r>
      <w:r>
        <w:t xml:space="preserve">".  </w:t>
      </w:r>
    </w:p>
  </w:footnote>
  <w:footnote w:id="49">
    <w:p w14:paraId="335BA3CC" w14:textId="77777777" w:rsidR="004A3CD3" w:rsidRDefault="006C0598">
      <w:pPr>
        <w:pStyle w:val="footnotedescription"/>
        <w:spacing w:after="121" w:line="242" w:lineRule="auto"/>
        <w:ind w:left="1030" w:right="803" w:hanging="283"/>
        <w:jc w:val="both"/>
      </w:pPr>
      <w:r>
        <w:rPr>
          <w:rStyle w:val="footnotemark"/>
        </w:rPr>
        <w:footnoteRef/>
      </w:r>
      <w:r>
        <w:rPr>
          <w:i/>
        </w:rPr>
        <w:t xml:space="preserve"> </w:t>
      </w:r>
      <w:r>
        <w:t xml:space="preserve"> Minaraad, Advies van 26 november 2009 over de Klimaattop in Kopenhagen, p.5, Exhibit C.5: "[</w:t>
      </w:r>
      <w:r>
        <w:rPr>
          <w:i/>
        </w:rPr>
        <w:t>D]at de emissies in 2050 met 80 à 95% verminderd moeten zijn in vergelijking met de niveaus van 1990. De Minaraad...wijst erop dat er recentere studies zijn die aangeven dat men op wereldvlak meer zou moeten reduceren dan wat het IPCC in zijn laatste rapport heeft voorspeld (+50%)</w:t>
      </w:r>
      <w:r>
        <w:t xml:space="preserve">". </w:t>
      </w:r>
    </w:p>
  </w:footnote>
  <w:footnote w:id="50">
    <w:p w14:paraId="5DA7953C" w14:textId="77777777" w:rsidR="004A3CD3" w:rsidRDefault="006C0598">
      <w:pPr>
        <w:pStyle w:val="footnotedescription"/>
        <w:spacing w:after="117" w:line="242" w:lineRule="auto"/>
        <w:ind w:left="1030" w:right="801" w:hanging="283"/>
        <w:jc w:val="both"/>
      </w:pPr>
      <w:r>
        <w:rPr>
          <w:rStyle w:val="footnotemark"/>
        </w:rPr>
        <w:footnoteRef/>
      </w:r>
      <w:r>
        <w:rPr>
          <w:i/>
        </w:rPr>
        <w:t xml:space="preserve"> </w:t>
      </w:r>
      <w:r>
        <w:t xml:space="preserve"> Resolutie betreffende het nieuwe klimaatverdrag van Kopenhagen, 9 december 2009, Vlaams Parl</w:t>
      </w:r>
      <w:r>
        <w:rPr>
          <w:i/>
        </w:rPr>
        <w:t xml:space="preserve">. Doc, </w:t>
      </w:r>
      <w:r>
        <w:t>20092010, No. 282/3</w:t>
      </w:r>
      <w:r>
        <w:rPr>
          <w:i/>
        </w:rPr>
        <w:t xml:space="preserve">, </w:t>
      </w:r>
      <w:r>
        <w:t xml:space="preserve">p. 2, 8°, Exhibit 9, free translation: </w:t>
      </w:r>
      <w:r>
        <w:rPr>
          <w:i/>
        </w:rPr>
        <w:t xml:space="preserve">"het voorzorgsprincipe, wat inhoudt dat voor de groep van ontwikkelde landen reductiedoelstellingen nodig zijn van 25% tot 40% in 2020 ten opzichte van 1990 en ten minste 80% tot 95% in 2050 ten opzichte van 1990, [...];" </w:t>
      </w:r>
    </w:p>
  </w:footnote>
  <w:footnote w:id="51">
    <w:p w14:paraId="01150D9F" w14:textId="77777777" w:rsidR="004A3CD3" w:rsidRDefault="006C0598">
      <w:pPr>
        <w:pStyle w:val="footnotedescription"/>
        <w:spacing w:after="125" w:line="241" w:lineRule="auto"/>
        <w:ind w:left="1030" w:right="803" w:hanging="283"/>
        <w:jc w:val="both"/>
      </w:pPr>
      <w:r>
        <w:rPr>
          <w:rStyle w:val="footnotemark"/>
        </w:rPr>
        <w:footnoteRef/>
      </w:r>
      <w:r>
        <w:rPr>
          <w:i/>
        </w:rPr>
        <w:t xml:space="preserve"> </w:t>
      </w:r>
      <w:r>
        <w:t>MIRA, "Milieuverkenning 2030", November 2009, p. 373, Exhibit C.3, free translation: "</w:t>
      </w:r>
      <w:r>
        <w:rPr>
          <w:i/>
        </w:rPr>
        <w:t>Nogmaals: een transitie staat of valt niet met een overheid alleen. Maar om transities bewust te versnellen en in de richting van duurzaamheid te sturen, is de rol van de overheid wel cruciaal. Als de maatschappij het erover eens is dat transities noodzakelijk zijn, mag van de overheid verwacht worden dat ze de kennis en capaciteit mobiliseert om inhoudelijk en procesmatig leiderschap te tonen</w:t>
      </w:r>
      <w:r>
        <w:t xml:space="preserve">." </w:t>
      </w:r>
    </w:p>
  </w:footnote>
  <w:footnote w:id="52">
    <w:p w14:paraId="1FB832AE" w14:textId="77777777" w:rsidR="004A3CD3" w:rsidRDefault="006C0598">
      <w:pPr>
        <w:pStyle w:val="footnotedescription"/>
        <w:spacing w:after="0" w:line="251" w:lineRule="auto"/>
        <w:ind w:left="1030" w:right="391" w:hanging="283"/>
        <w:jc w:val="both"/>
      </w:pPr>
      <w:r>
        <w:rPr>
          <w:rStyle w:val="footnotemark"/>
        </w:rPr>
        <w:footnoteRef/>
      </w:r>
      <w:r>
        <w:t xml:space="preserve">  Resolutie betreffende het nieuwe klimaatverdrag van Kopenhagen, 9 december 2009, Vlaams Parl</w:t>
      </w:r>
      <w:r>
        <w:rPr>
          <w:i/>
        </w:rPr>
        <w:t xml:space="preserve">. Doc, </w:t>
      </w:r>
      <w:r>
        <w:t>20092010, No. 282/3</w:t>
      </w:r>
      <w:r>
        <w:rPr>
          <w:i/>
        </w:rPr>
        <w:t xml:space="preserve">, </w:t>
      </w:r>
      <w:r>
        <w:t xml:space="preserve">Exhibit 9, </w:t>
      </w:r>
    </w:p>
  </w:footnote>
  <w:footnote w:id="53">
    <w:p w14:paraId="787CED3D" w14:textId="77777777" w:rsidR="004A3CD3" w:rsidRDefault="006C0598">
      <w:pPr>
        <w:pStyle w:val="footnotedescription"/>
        <w:tabs>
          <w:tab w:val="center" w:pos="807"/>
          <w:tab w:val="center" w:pos="3427"/>
        </w:tabs>
        <w:spacing w:after="0"/>
        <w:ind w:left="0"/>
      </w:pPr>
      <w:r>
        <w:rPr>
          <w:rStyle w:val="footnotemark"/>
        </w:rPr>
        <w:footnoteRef/>
      </w:r>
      <w:r>
        <w:tab/>
        <w:t xml:space="preserve">February 20, 2014 "Climate" Order, </w:t>
      </w:r>
      <w:r>
        <w:rPr>
          <w:i/>
        </w:rPr>
        <w:t xml:space="preserve">MB </w:t>
      </w:r>
      <w:r>
        <w:t xml:space="preserve">March 10, 2014, Exhibit F.3. </w:t>
      </w:r>
    </w:p>
  </w:footnote>
  <w:footnote w:id="54">
    <w:p w14:paraId="6BA6330F" w14:textId="77777777" w:rsidR="004A3CD3" w:rsidRDefault="006C0598">
      <w:pPr>
        <w:pStyle w:val="footnotedescription"/>
        <w:spacing w:line="250" w:lineRule="auto"/>
        <w:ind w:left="1030" w:right="811" w:hanging="283"/>
        <w:jc w:val="both"/>
      </w:pPr>
      <w:r>
        <w:rPr>
          <w:rStyle w:val="footnotemark"/>
        </w:rPr>
        <w:footnoteRef/>
      </w:r>
      <w:r>
        <w:t xml:space="preserve"> Communication from the Commission to the Council, the European Parliament, the European Economic and Social Committee and the Committee of the Regions, </w:t>
      </w:r>
      <w:r>
        <w:rPr>
          <w:i/>
        </w:rPr>
        <w:t>Limiting Global Climate Change to 2 degrees Celsius. The way ahead for 2020 and beyond</w:t>
      </w:r>
      <w:r>
        <w:t xml:space="preserve">, COM(2007) 2 final, Brussels, 10 January 2007, Annex G.2. </w:t>
      </w:r>
    </w:p>
  </w:footnote>
  <w:footnote w:id="55">
    <w:p w14:paraId="6201AC46" w14:textId="77777777" w:rsidR="004A3CD3" w:rsidRDefault="006C0598">
      <w:pPr>
        <w:pStyle w:val="footnotedescription"/>
        <w:spacing w:after="118"/>
      </w:pPr>
      <w:r>
        <w:rPr>
          <w:rStyle w:val="footnotemark"/>
        </w:rPr>
        <w:footnoteRef/>
      </w:r>
      <w:r>
        <w:t xml:space="preserve"> </w:t>
      </w:r>
      <w:r>
        <w:rPr>
          <w:i/>
        </w:rPr>
        <w:t xml:space="preserve">Ibid. </w:t>
      </w:r>
      <w:r>
        <w:t xml:space="preserve">, p. 4. </w:t>
      </w:r>
    </w:p>
  </w:footnote>
  <w:footnote w:id="56">
    <w:p w14:paraId="753AF3EF" w14:textId="77777777" w:rsidR="004A3CD3" w:rsidRDefault="006C0598">
      <w:pPr>
        <w:pStyle w:val="footnotedescription"/>
        <w:spacing w:after="0"/>
      </w:pPr>
      <w:r>
        <w:rPr>
          <w:rStyle w:val="footnotemark"/>
        </w:rPr>
        <w:footnoteRef/>
      </w:r>
      <w:r>
        <w:t xml:space="preserve"> </w:t>
      </w:r>
      <w:r>
        <w:rPr>
          <w:i/>
        </w:rPr>
        <w:t xml:space="preserve">Ibid. </w:t>
      </w:r>
      <w:r>
        <w:t xml:space="preserve">at 2-3. </w:t>
      </w:r>
    </w:p>
  </w:footnote>
  <w:footnote w:id="57">
    <w:p w14:paraId="71AD1759" w14:textId="77777777" w:rsidR="004A3CD3" w:rsidRDefault="006C0598">
      <w:pPr>
        <w:pStyle w:val="footnotedescription"/>
        <w:spacing w:after="104" w:line="261" w:lineRule="auto"/>
        <w:ind w:left="1030" w:right="6" w:hanging="283"/>
        <w:jc w:val="both"/>
      </w:pPr>
      <w:r>
        <w:rPr>
          <w:rStyle w:val="footnotemark"/>
        </w:rPr>
        <w:footnoteRef/>
      </w:r>
      <w:r>
        <w:t xml:space="preserve"> European Parliament resolution of 31 January 2008 on the outcome of the Bali Conference on Climate Change (COP 13 and COP/MOP 3), Exhibit G.4; emphasis added. </w:t>
      </w:r>
    </w:p>
  </w:footnote>
  <w:footnote w:id="58">
    <w:p w14:paraId="1865B788" w14:textId="77777777" w:rsidR="004A3CD3" w:rsidRDefault="006C0598">
      <w:pPr>
        <w:pStyle w:val="footnotedescription"/>
        <w:tabs>
          <w:tab w:val="center" w:pos="807"/>
          <w:tab w:val="center" w:pos="4723"/>
        </w:tabs>
        <w:spacing w:after="116"/>
        <w:ind w:left="0"/>
      </w:pPr>
      <w:r>
        <w:rPr>
          <w:rStyle w:val="footnotemark"/>
        </w:rPr>
        <w:footnoteRef/>
      </w:r>
      <w:r>
        <w:tab/>
        <w:t xml:space="preserve">The original </w:t>
      </w:r>
      <w:r>
        <w:tab/>
        <w:t xml:space="preserve">text of the letter is included in the 2019 Summary Findings, p. 56, No. 85, Exhibit P.27. </w:t>
      </w:r>
    </w:p>
  </w:footnote>
  <w:footnote w:id="59">
    <w:p w14:paraId="113E9C2C" w14:textId="77777777" w:rsidR="004A3CD3" w:rsidRDefault="006C0598">
      <w:pPr>
        <w:pStyle w:val="footnotedescription"/>
        <w:spacing w:after="0"/>
      </w:pPr>
      <w:r>
        <w:rPr>
          <w:rStyle w:val="footnotemark"/>
        </w:rPr>
        <w:footnoteRef/>
      </w:r>
      <w:hyperlink r:id="rId16">
        <w:r>
          <w:t xml:space="preserve"> https://eur-lex.europa.eu/legal-content/FR/TXT/HTML/?uri=CELEX:52008AE1201&amp;from=MT  </w:t>
        </w:r>
      </w:hyperlink>
    </w:p>
  </w:footnote>
  <w:footnote w:id="60">
    <w:p w14:paraId="29FA0D91" w14:textId="77777777" w:rsidR="004A3CD3" w:rsidRDefault="006C0598">
      <w:pPr>
        <w:pStyle w:val="footnotedescription"/>
        <w:tabs>
          <w:tab w:val="center" w:pos="807"/>
          <w:tab w:val="center" w:pos="2812"/>
        </w:tabs>
        <w:spacing w:after="0"/>
        <w:ind w:left="0"/>
      </w:pPr>
      <w:r>
        <w:rPr>
          <w:rStyle w:val="footnotemark"/>
        </w:rPr>
        <w:footnoteRef/>
      </w:r>
      <w:r>
        <w:tab/>
        <w:t xml:space="preserve">Rechtbank Den Haag (2015), Urgenda, Exhibit O.3. </w:t>
      </w:r>
    </w:p>
  </w:footnote>
  <w:footnote w:id="61">
    <w:p w14:paraId="78E73562" w14:textId="77777777" w:rsidR="004A3CD3" w:rsidRDefault="006C0598">
      <w:pPr>
        <w:pStyle w:val="footnotedescription"/>
        <w:spacing w:after="0" w:line="241" w:lineRule="auto"/>
        <w:ind w:left="1030" w:right="803" w:hanging="283"/>
        <w:jc w:val="both"/>
      </w:pPr>
      <w:r>
        <w:rPr>
          <w:rStyle w:val="footnotemark"/>
        </w:rPr>
        <w:footnoteRef/>
      </w:r>
      <w:r>
        <w:t xml:space="preserve"> Rechtbank Den Haag (2015), Urgenda, point 4.32, Exhibit O.3: "</w:t>
      </w:r>
      <w:r>
        <w:rPr>
          <w:i/>
        </w:rPr>
        <w:t xml:space="preserve">De eerste figuur - nader uitgewerkt in de tweede en derde figuur - toont volgens Urgenda aan dat bij een uitgestelde reductieroute </w:t>
      </w:r>
      <w:r>
        <w:rPr>
          <w:b/>
          <w:i/>
        </w:rPr>
        <w:t xml:space="preserve">meer wordt uitgestoten </w:t>
      </w:r>
      <w:r>
        <w:rPr>
          <w:i/>
        </w:rPr>
        <w:t xml:space="preserve">dan bij een keuze voor een gelijkmatige verdeling van de te leveren reductie-inspanning over de gehele periode tot aan 2050 of voor een ligneaire aanpak. I would like to point out that the figure shows that a reduction in the total amount of emissions (to a lower level in 2030 and beyond) will result in a large amount of emissions and that the overshoot in the budget will have to be reduced. Urgenda points out that the </w:t>
      </w:r>
      <w:r>
        <w:rPr>
          <w:b/>
          <w:i/>
        </w:rPr>
        <w:t xml:space="preserve">cost-efficiency of the budget </w:t>
      </w:r>
      <w:r>
        <w:rPr>
          <w:i/>
        </w:rPr>
        <w:t xml:space="preserve">does not mean that it is not possible to make decisions. It is based on the AR5/2013, in which it is stated that the scenarios in which the reduction of greenhouse gases is set for the period between 2030 and 2050 are based on a </w:t>
      </w:r>
      <w:r>
        <w:rPr>
          <w:b/>
          <w:i/>
        </w:rPr>
        <w:t xml:space="preserve">major change in the technologies used to </w:t>
      </w:r>
      <w:r>
        <w:rPr>
          <w:i/>
          <w:vertAlign w:val="subscript"/>
        </w:rPr>
        <w:t>2</w:t>
      </w:r>
      <w:r>
        <w:rPr>
          <w:i/>
        </w:rPr>
        <w:t xml:space="preserve">reduce greenhouse gases. Volgens ditzelfde rapport zijn deze technieken echter </w:t>
      </w:r>
      <w:r>
        <w:rPr>
          <w:b/>
          <w:i/>
        </w:rPr>
        <w:t xml:space="preserve">nog niet </w:t>
      </w:r>
      <w:r>
        <w:rPr>
          <w:i/>
        </w:rPr>
        <w:t xml:space="preserve">zo </w:t>
      </w:r>
      <w:r>
        <w:rPr>
          <w:b/>
          <w:i/>
        </w:rPr>
        <w:t xml:space="preserve">ver ontwikkeld </w:t>
      </w:r>
      <w:r>
        <w:rPr>
          <w:i/>
        </w:rPr>
        <w:t>dat zij een substantiële bijdrage aan de reductie kunnen leveren (zie 2.19).</w:t>
      </w:r>
      <w:r>
        <w:t xml:space="preserve">" </w:t>
      </w:r>
    </w:p>
  </w:footnote>
  <w:footnote w:id="62">
    <w:p w14:paraId="58F7FC44" w14:textId="77777777" w:rsidR="004A3CD3" w:rsidRDefault="006C0598">
      <w:pPr>
        <w:pStyle w:val="footnotedescription"/>
        <w:spacing w:after="113" w:line="247" w:lineRule="auto"/>
        <w:ind w:left="1030" w:hanging="283"/>
        <w:jc w:val="both"/>
      </w:pPr>
      <w:r>
        <w:rPr>
          <w:rStyle w:val="footnotemark"/>
        </w:rPr>
        <w:footnoteRef/>
      </w:r>
      <w:r>
        <w:t xml:space="preserve">  UNEP, </w:t>
      </w:r>
      <w:r>
        <w:rPr>
          <w:i/>
        </w:rPr>
        <w:t>Emissions Gap Report 2020 - Executive Summary</w:t>
      </w:r>
      <w:r>
        <w:t>, Nairobi, UNEP, IV-V, in particular Figure ES.1. See https://www.unep.org/e</w:t>
      </w:r>
      <w:hyperlink r:id="rId17">
        <w:r>
          <w:t xml:space="preserve">missions-gap-report-2020 </w:t>
        </w:r>
      </w:hyperlink>
      <w:hyperlink r:id="rId18">
        <w:r>
          <w:rPr>
            <w:u w:val="single" w:color="000000"/>
          </w:rPr>
          <w:t xml:space="preserve">. </w:t>
        </w:r>
      </w:hyperlink>
    </w:p>
  </w:footnote>
  <w:footnote w:id="63">
    <w:p w14:paraId="3C95ACB9" w14:textId="77777777" w:rsidR="004A3CD3" w:rsidRDefault="006C0598">
      <w:pPr>
        <w:pStyle w:val="footnotedescription"/>
        <w:spacing w:after="113" w:line="242" w:lineRule="auto"/>
        <w:ind w:left="1030" w:right="803" w:hanging="283"/>
        <w:jc w:val="both"/>
      </w:pPr>
      <w:r>
        <w:rPr>
          <w:rStyle w:val="footnotemark"/>
        </w:rPr>
        <w:footnoteRef/>
      </w:r>
      <w:r>
        <w:rPr>
          <w:i/>
        </w:rPr>
        <w:t xml:space="preserve"> Ibid.</w:t>
      </w:r>
      <w:r>
        <w:t xml:space="preserve"> See also the Shell judgment of 26 May 2021, no. 3.4. Also the Shell judgment of 26 May 2021, no. 3.4: Rechtbank Den Haag, 26 mei 2021, </w:t>
      </w:r>
      <w:r>
        <w:rPr>
          <w:i/>
        </w:rPr>
        <w:t>Vereniging Milieudefensie, Stichting Greenpeace Nederland, Stichting ter bevordering van de Fossiel-vrij beweging, Landelijke Vereniging tot Behoud van de Waddenzee, Stichting Both ENDS, vereniging Jongeren Milieu-Actief en Stichting Action Aid t. Royal Dutch Shell PLC</w:t>
      </w:r>
      <w:r>
        <w:t xml:space="preserve">, ECLI:NL:RBDHA:2021:5337. </w:t>
      </w:r>
    </w:p>
  </w:footnote>
  <w:footnote w:id="64">
    <w:p w14:paraId="550FFDE3" w14:textId="77777777" w:rsidR="004A3CD3" w:rsidRDefault="006C0598">
      <w:pPr>
        <w:pStyle w:val="footnotedescription"/>
        <w:spacing w:after="0" w:line="245" w:lineRule="auto"/>
        <w:ind w:left="1030" w:right="802" w:hanging="283"/>
        <w:jc w:val="both"/>
      </w:pPr>
      <w:r>
        <w:rPr>
          <w:rStyle w:val="footnotemark"/>
        </w:rPr>
        <w:footnoteRef/>
      </w:r>
      <w:r>
        <w:rPr>
          <w:i/>
        </w:rPr>
        <w:t xml:space="preserve"> </w:t>
      </w:r>
      <w:r>
        <w:t>IPCC 2021, AR6 WG I, SPM, pp. 10 ff, and specifically point "</w:t>
      </w:r>
      <w:r>
        <w:rPr>
          <w:i/>
        </w:rPr>
        <w:t>A.3 Human-induced climate change is already affecting many weather and climate extremes in every region across the globe. Evidence of observed changes in extremes such as heatwaves, heavy precipitation, droughts, and tropical cyclones, and, in particular, their attribution to human influence, has strengthened since AR5</w:t>
      </w:r>
      <w:r>
        <w:t xml:space="preserve">", Exhibit B.30. </w:t>
      </w:r>
    </w:p>
  </w:footnote>
  <w:footnote w:id="65">
    <w:p w14:paraId="618BCEA5" w14:textId="77777777" w:rsidR="004A3CD3" w:rsidRDefault="006C0598">
      <w:pPr>
        <w:pStyle w:val="footnotedescription"/>
        <w:spacing w:after="0" w:line="374" w:lineRule="auto"/>
        <w:ind w:right="7089"/>
      </w:pPr>
      <w:r>
        <w:rPr>
          <w:rStyle w:val="footnotemark"/>
        </w:rPr>
        <w:footnoteRef/>
      </w:r>
      <w:r>
        <w:t xml:space="preserve"> Judgement undertaken, p. 57. </w:t>
      </w:r>
      <w:r>
        <w:rPr>
          <w:vertAlign w:val="superscript"/>
        </w:rPr>
        <w:t>70</w:t>
      </w:r>
      <w:r>
        <w:rPr>
          <w:vertAlign w:val="superscript"/>
        </w:rPr>
        <w:tab/>
      </w:r>
      <w:r>
        <w:t xml:space="preserve">Judgement undertaken, p. 59. </w:t>
      </w:r>
    </w:p>
  </w:footnote>
  <w:footnote w:id="66">
    <w:p w14:paraId="4B838055" w14:textId="77777777" w:rsidR="004A3CD3" w:rsidRDefault="006C0598">
      <w:pPr>
        <w:pStyle w:val="footnotedescription"/>
        <w:tabs>
          <w:tab w:val="center" w:pos="807"/>
          <w:tab w:val="center" w:pos="2246"/>
        </w:tabs>
        <w:spacing w:after="0"/>
        <w:ind w:left="0"/>
      </w:pPr>
      <w:r>
        <w:rPr>
          <w:rStyle w:val="footnotemark"/>
        </w:rPr>
        <w:footnoteRef/>
      </w:r>
      <w:r>
        <w:tab/>
        <w:t xml:space="preserve">https://www.co2.earth/daily-co2 </w:t>
      </w:r>
    </w:p>
  </w:footnote>
  <w:footnote w:id="67">
    <w:p w14:paraId="0EDF2868" w14:textId="77777777" w:rsidR="004A3CD3" w:rsidRDefault="006C0598">
      <w:pPr>
        <w:pStyle w:val="footnotedescription"/>
        <w:spacing w:after="0" w:line="242" w:lineRule="auto"/>
        <w:ind w:left="1030" w:right="802" w:hanging="283"/>
        <w:jc w:val="both"/>
      </w:pPr>
      <w:r>
        <w:rPr>
          <w:rStyle w:val="footnotemark"/>
        </w:rPr>
        <w:footnoteRef/>
      </w:r>
      <w:r>
        <w:t xml:space="preserve">  CRC, Decision </w:t>
      </w:r>
      <w:r>
        <w:rPr>
          <w:i/>
        </w:rPr>
        <w:t xml:space="preserve">Chiara Sacchi and Ramin Pejan et al v. Argentina, </w:t>
      </w:r>
      <w:r>
        <w:t>8 October 2021</w:t>
      </w:r>
      <w:r>
        <w:rPr>
          <w:i/>
        </w:rPr>
        <w:t xml:space="preserve">, </w:t>
      </w:r>
      <w:r>
        <w:t xml:space="preserve">CRC/C/88/D/104/2019, No. 10.10; CRC, Decision </w:t>
      </w:r>
      <w:r>
        <w:rPr>
          <w:i/>
        </w:rPr>
        <w:t xml:space="preserve">Chiara Sacchi and Ramin Pejan et al v. Brazil, </w:t>
      </w:r>
      <w:r>
        <w:t xml:space="preserve">8 October 2021, CRC/C/88/D/105/2019, No. 10.10; CRC, Decision </w:t>
      </w:r>
      <w:r>
        <w:rPr>
          <w:i/>
        </w:rPr>
        <w:t xml:space="preserve">Chiara Sacchi and Ramin Pejan et al v. France, </w:t>
      </w:r>
      <w:r>
        <w:t xml:space="preserve">8 October 2021, CRC/C/88/D/106/2019, No. 10.10; CRC, Decision </w:t>
      </w:r>
      <w:r>
        <w:rPr>
          <w:i/>
        </w:rPr>
        <w:t xml:space="preserve">Chiara Sacchi and Ramin Pejan et al v. Germany, </w:t>
      </w:r>
      <w:r>
        <w:t xml:space="preserve">8 October 2021, CRC/C/88/D/107/2019, No. 9.10; CRC, Decision </w:t>
      </w:r>
      <w:r>
        <w:rPr>
          <w:i/>
        </w:rPr>
        <w:t xml:space="preserve">Chiara Sacchi and Ramin Pejan et al v. Turkey, </w:t>
      </w:r>
      <w:r>
        <w:t xml:space="preserve">8 October 2021, CRC/C/88/D/108/2019, No. 9.10. </w:t>
      </w:r>
    </w:p>
  </w:footnote>
  <w:footnote w:id="68">
    <w:p w14:paraId="221DC3FF" w14:textId="77777777" w:rsidR="004A3CD3" w:rsidRDefault="006C0598">
      <w:pPr>
        <w:pStyle w:val="footnotedescription"/>
        <w:spacing w:after="101"/>
      </w:pPr>
      <w:r>
        <w:rPr>
          <w:rStyle w:val="footnotemark"/>
        </w:rPr>
        <w:footnoteRef/>
      </w:r>
      <w:r>
        <w:t xml:space="preserve"> </w:t>
      </w:r>
      <w:r>
        <w:rPr>
          <w:i/>
        </w:rPr>
        <w:t>Supra</w:t>
      </w:r>
      <w:r>
        <w:t xml:space="preserve">, no. 42 and no. 46. </w:t>
      </w:r>
    </w:p>
  </w:footnote>
  <w:footnote w:id="69">
    <w:p w14:paraId="6AF4D989" w14:textId="77777777" w:rsidR="004A3CD3" w:rsidRDefault="006C0598">
      <w:pPr>
        <w:pStyle w:val="footnotedescription"/>
        <w:spacing w:after="0" w:line="251" w:lineRule="auto"/>
        <w:ind w:left="1030" w:right="810" w:hanging="283"/>
        <w:jc w:val="both"/>
      </w:pPr>
      <w:r>
        <w:rPr>
          <w:rStyle w:val="footnotemark"/>
        </w:rPr>
        <w:footnoteRef/>
      </w:r>
      <w:r>
        <w:t xml:space="preserve"> Communication from the Commission to the Council, the European Parliament, the European Economic and Social Committee and the Committee of the Regions, </w:t>
      </w:r>
      <w:r>
        <w:rPr>
          <w:i/>
        </w:rPr>
        <w:t>Limiting Global Climate Change to 2 degrees Celsius. The way ahead for 2020 and beyond</w:t>
      </w:r>
      <w:r>
        <w:t xml:space="preserve">, COM(2007) 2 final, Brussels, 10 January 2007, Annex G.2. </w:t>
      </w:r>
    </w:p>
  </w:footnote>
  <w:footnote w:id="70">
    <w:p w14:paraId="4E4A5D0C" w14:textId="77777777" w:rsidR="004A3CD3" w:rsidRDefault="006C0598">
      <w:pPr>
        <w:pStyle w:val="footnotedescription"/>
        <w:spacing w:after="116"/>
      </w:pPr>
      <w:r>
        <w:rPr>
          <w:rStyle w:val="footnotemark"/>
        </w:rPr>
        <w:footnoteRef/>
      </w:r>
      <w:r>
        <w:t xml:space="preserve"> </w:t>
      </w:r>
      <w:r>
        <w:rPr>
          <w:i/>
        </w:rPr>
        <w:t xml:space="preserve">Ibid. </w:t>
      </w:r>
      <w:r>
        <w:t xml:space="preserve">, p. 4. </w:t>
      </w:r>
    </w:p>
  </w:footnote>
  <w:footnote w:id="71">
    <w:p w14:paraId="15E06E01" w14:textId="77777777" w:rsidR="004A3CD3" w:rsidRDefault="006C0598">
      <w:pPr>
        <w:pStyle w:val="footnotedescription"/>
      </w:pPr>
      <w:r>
        <w:rPr>
          <w:rStyle w:val="footnotemark"/>
        </w:rPr>
        <w:footnoteRef/>
      </w:r>
      <w:r>
        <w:t xml:space="preserve"> </w:t>
      </w:r>
      <w:r>
        <w:rPr>
          <w:i/>
        </w:rPr>
        <w:t xml:space="preserve">Ibid. </w:t>
      </w:r>
      <w:r>
        <w:t xml:space="preserve">at 2-3. </w:t>
      </w:r>
    </w:p>
  </w:footnote>
  <w:footnote w:id="72">
    <w:p w14:paraId="5DE8CB44" w14:textId="77777777" w:rsidR="004A3CD3" w:rsidRDefault="006C0598">
      <w:pPr>
        <w:pStyle w:val="footnotedescription"/>
        <w:spacing w:after="122"/>
      </w:pPr>
      <w:r>
        <w:rPr>
          <w:rStyle w:val="footnotemark"/>
        </w:rPr>
        <w:footnoteRef/>
      </w:r>
      <w:r>
        <w:t xml:space="preserve"> Exhibits B.23 and B.24. </w:t>
      </w:r>
    </w:p>
  </w:footnote>
  <w:footnote w:id="73">
    <w:p w14:paraId="46CAE4AB" w14:textId="77777777" w:rsidR="004A3CD3" w:rsidRDefault="006C0598">
      <w:pPr>
        <w:pStyle w:val="footnotedescription"/>
        <w:tabs>
          <w:tab w:val="center" w:pos="807"/>
          <w:tab w:val="center" w:pos="3614"/>
        </w:tabs>
        <w:spacing w:after="0"/>
        <w:ind w:left="0"/>
      </w:pPr>
      <w:r>
        <w:rPr>
          <w:rStyle w:val="footnotemark"/>
        </w:rPr>
        <w:footnoteRef/>
      </w:r>
      <w:r>
        <w:tab/>
        <w:t xml:space="preserve">IPCC 2018, SR 1.5°C, Chapter II, p. 108, Tables 2.4 and 2.2, Exhibit B.23. </w:t>
      </w:r>
    </w:p>
  </w:footnote>
  <w:footnote w:id="74">
    <w:p w14:paraId="70B33C59" w14:textId="77777777" w:rsidR="004A3CD3" w:rsidRDefault="006C0598">
      <w:pPr>
        <w:pStyle w:val="footnotedescription"/>
        <w:spacing w:after="0" w:line="247" w:lineRule="auto"/>
        <w:ind w:left="1030" w:hanging="283"/>
        <w:jc w:val="both"/>
      </w:pPr>
      <w:r>
        <w:rPr>
          <w:rStyle w:val="footnotemark"/>
        </w:rPr>
        <w:footnoteRef/>
      </w:r>
      <w:r>
        <w:t xml:space="preserve"> See Ch. Ch. KREUTER-KIRCHHOF, "Atmosphere, International Protection", in </w:t>
      </w:r>
      <w:r>
        <w:rPr>
          <w:i/>
        </w:rPr>
        <w:t>Max Planck Encyclopedias of International Law - Max Planck Encyclopedia of Public International Law</w:t>
      </w:r>
      <w:r>
        <w:t xml:space="preserve">, Update March 2011, nos. 8-9. </w:t>
      </w:r>
    </w:p>
  </w:footnote>
  <w:footnote w:id="75">
    <w:p w14:paraId="271F266F" w14:textId="77777777" w:rsidR="004A3CD3" w:rsidRDefault="006C0598">
      <w:pPr>
        <w:pStyle w:val="footnotedescription"/>
        <w:spacing w:after="114"/>
      </w:pPr>
      <w:r>
        <w:rPr>
          <w:rStyle w:val="footnotemark"/>
        </w:rPr>
        <w:footnoteRef/>
      </w:r>
      <w:r>
        <w:t xml:space="preserve"> Report, p. 120, Exhibit C.11. </w:t>
      </w:r>
    </w:p>
  </w:footnote>
  <w:footnote w:id="76">
    <w:p w14:paraId="71122CCA" w14:textId="77777777" w:rsidR="004A3CD3" w:rsidRDefault="006C0598">
      <w:pPr>
        <w:pStyle w:val="footnotedescription"/>
        <w:spacing w:after="0"/>
      </w:pPr>
      <w:r>
        <w:rPr>
          <w:rStyle w:val="footnotemark"/>
        </w:rPr>
        <w:footnoteRef/>
      </w:r>
      <w:r>
        <w:t xml:space="preserve"> Report, p. 120, Exhibit C.11. </w:t>
      </w:r>
    </w:p>
  </w:footnote>
  <w:footnote w:id="77">
    <w:p w14:paraId="614D31A0" w14:textId="77777777" w:rsidR="004A3CD3" w:rsidRDefault="006C0598">
      <w:pPr>
        <w:pStyle w:val="footnotedescription"/>
        <w:spacing w:after="0"/>
      </w:pPr>
      <w:r>
        <w:rPr>
          <w:rStyle w:val="footnotemark"/>
        </w:rPr>
        <w:footnoteRef/>
      </w:r>
      <w:r>
        <w:t xml:space="preserve"> Report, p. 120, Exhibit C.11. </w:t>
      </w:r>
    </w:p>
  </w:footnote>
  <w:footnote w:id="78">
    <w:p w14:paraId="6975A4DC" w14:textId="77777777" w:rsidR="004A3CD3" w:rsidRDefault="006C0598">
      <w:pPr>
        <w:pStyle w:val="footnotedescription"/>
        <w:spacing w:after="112"/>
      </w:pPr>
      <w:r>
        <w:rPr>
          <w:rStyle w:val="footnotemark"/>
        </w:rPr>
        <w:footnoteRef/>
      </w:r>
      <w:r>
        <w:t xml:space="preserve"> Report, p. 119, Exhibit C.11. </w:t>
      </w:r>
    </w:p>
  </w:footnote>
  <w:footnote w:id="79">
    <w:p w14:paraId="61426EAD" w14:textId="77777777" w:rsidR="004A3CD3" w:rsidRDefault="006C0598">
      <w:pPr>
        <w:pStyle w:val="footnotedescription"/>
        <w:spacing w:after="0" w:line="244" w:lineRule="auto"/>
        <w:ind w:left="1030" w:right="804" w:hanging="283"/>
        <w:jc w:val="both"/>
      </w:pPr>
      <w:r>
        <w:rPr>
          <w:rStyle w:val="footnotemark"/>
        </w:rPr>
        <w:footnoteRef/>
      </w:r>
      <w:r>
        <w:rPr>
          <w:i/>
        </w:rPr>
        <w:t xml:space="preserve"> </w:t>
      </w:r>
      <w:r>
        <w:t xml:space="preserve"> IPCC 2021, AR6 WG I, SPM, 41, </w:t>
      </w:r>
      <w:r>
        <w:rPr>
          <w:i/>
        </w:rPr>
        <w:t xml:space="preserve">sub </w:t>
      </w:r>
      <w:r>
        <w:t>D.1, Exhibit B.30: "</w:t>
      </w:r>
      <w:r>
        <w:rPr>
          <w:i/>
        </w:rPr>
        <w:t>From a physical science perspective, limiting human-induced global warming to a specific level requires limiting cumulative CO2 emissions, reaching at least net zero CO2emissions, along with strong reductions in other greenhouse gas emissions.</w:t>
      </w:r>
      <w:r>
        <w:t xml:space="preserve">"  </w:t>
      </w:r>
    </w:p>
  </w:footnote>
  <w:footnote w:id="80">
    <w:p w14:paraId="4C9CCC1F" w14:textId="77777777" w:rsidR="004A3CD3" w:rsidRDefault="006C0598">
      <w:pPr>
        <w:pStyle w:val="footnotedescription"/>
        <w:spacing w:after="0" w:line="256" w:lineRule="auto"/>
        <w:ind w:left="1030" w:right="60" w:hanging="283"/>
        <w:jc w:val="both"/>
      </w:pPr>
      <w:r>
        <w:rPr>
          <w:rStyle w:val="footnotemark"/>
        </w:rPr>
        <w:footnoteRef/>
      </w:r>
      <w:r>
        <w:t xml:space="preserve"> Regulation (EU) 2021/1119 of 30 June 2021 establishing the framework for achieving climate neutrality and amending Regulations (EC) No 401/2009 and (EU) 2018/1999 ("European Climate Act") </w:t>
      </w:r>
    </w:p>
  </w:footnote>
  <w:footnote w:id="81">
    <w:p w14:paraId="364FA2F8" w14:textId="77777777" w:rsidR="004A3CD3" w:rsidRDefault="006C0598">
      <w:pPr>
        <w:pStyle w:val="footnotedescription"/>
        <w:spacing w:after="111"/>
      </w:pPr>
      <w:r>
        <w:rPr>
          <w:rStyle w:val="footnotemark"/>
        </w:rPr>
        <w:footnoteRef/>
      </w:r>
      <w:r>
        <w:t xml:space="preserve"> T. VANHESTE, "COP 26: Vlaanderen verpest de positie van België", </w:t>
      </w:r>
      <w:r>
        <w:rPr>
          <w:i/>
        </w:rPr>
        <w:t xml:space="preserve">Knack </w:t>
      </w:r>
      <w:r>
        <w:t xml:space="preserve">27 oktober 2021, (21) 34-36. </w:t>
      </w:r>
    </w:p>
  </w:footnote>
  <w:footnote w:id="82">
    <w:p w14:paraId="282BD88A" w14:textId="77777777" w:rsidR="004A3CD3" w:rsidRDefault="006C0598">
      <w:pPr>
        <w:pStyle w:val="footnotedescription"/>
        <w:spacing w:after="107"/>
      </w:pPr>
      <w:r>
        <w:rPr>
          <w:rStyle w:val="footnotemark"/>
        </w:rPr>
        <w:footnoteRef/>
      </w:r>
      <w:r>
        <w:t xml:space="preserve"> W. WINCKELMANS, " Belgisch klimaatakkoord is voor een andere keer", </w:t>
      </w:r>
      <w:r>
        <w:rPr>
          <w:i/>
        </w:rPr>
        <w:t xml:space="preserve">De Standaard </w:t>
      </w:r>
      <w:r>
        <w:t xml:space="preserve">10-11 november 2021, 8. </w:t>
      </w:r>
    </w:p>
  </w:footnote>
  <w:footnote w:id="83">
    <w:p w14:paraId="351EF4CF" w14:textId="77777777" w:rsidR="004A3CD3" w:rsidRDefault="006C0598">
      <w:pPr>
        <w:pStyle w:val="footnotedescription"/>
        <w:spacing w:after="112"/>
      </w:pPr>
      <w:r>
        <w:rPr>
          <w:rStyle w:val="footnotemark"/>
        </w:rPr>
        <w:footnoteRef/>
      </w:r>
      <w:r>
        <w:t xml:space="preserve"> Walloon Regional  Policy Statement 2019-2014, p. 6 no. 54, Exhibit F.21. </w:t>
      </w:r>
    </w:p>
  </w:footnote>
  <w:footnote w:id="84">
    <w:p w14:paraId="7FA27865" w14:textId="77777777" w:rsidR="004A3CD3" w:rsidRDefault="006C0598">
      <w:pPr>
        <w:pStyle w:val="footnotedescription"/>
        <w:spacing w:after="105"/>
      </w:pPr>
      <w:r>
        <w:rPr>
          <w:rStyle w:val="footnotemark"/>
        </w:rPr>
        <w:footnoteRef/>
      </w:r>
      <w:r>
        <w:t xml:space="preserve"> W. WINCKELMANS, " Belgisch klimaatakkoord is voor een andere keer", </w:t>
      </w:r>
      <w:r>
        <w:rPr>
          <w:i/>
        </w:rPr>
        <w:t xml:space="preserve">De Standaard </w:t>
      </w:r>
      <w:r>
        <w:t xml:space="preserve">10-11 november 2021, 8. </w:t>
      </w:r>
    </w:p>
  </w:footnote>
  <w:footnote w:id="85">
    <w:p w14:paraId="16F1BAAC" w14:textId="77777777" w:rsidR="004A3CD3" w:rsidRDefault="006C0598">
      <w:pPr>
        <w:pStyle w:val="footnotedescription"/>
        <w:spacing w:after="112" w:line="249" w:lineRule="auto"/>
        <w:ind w:left="1030" w:hanging="283"/>
        <w:jc w:val="both"/>
      </w:pPr>
      <w:r>
        <w:rPr>
          <w:rStyle w:val="footnotemark"/>
        </w:rPr>
        <w:footnoteRef/>
      </w:r>
      <w:r>
        <w:t xml:space="preserve">  Joint Policy Statement to the Government of the Brussels-Capital Region and the assembled College of the Joint Community Commission 2019-2024, p. 4, Exhibit F.22. </w:t>
      </w:r>
    </w:p>
  </w:footnote>
  <w:footnote w:id="86">
    <w:p w14:paraId="52931540" w14:textId="77777777" w:rsidR="004A3CD3" w:rsidRDefault="006C0598">
      <w:pPr>
        <w:pStyle w:val="footnotedescription"/>
        <w:spacing w:after="107"/>
      </w:pPr>
      <w:r>
        <w:rPr>
          <w:rStyle w:val="footnotemark"/>
        </w:rPr>
        <w:footnoteRef/>
      </w:r>
      <w:r>
        <w:t xml:space="preserve"> W. WINCKELMANS, " Belgisch klimaatakkoord is voor een andere keer", </w:t>
      </w:r>
      <w:r>
        <w:rPr>
          <w:i/>
        </w:rPr>
        <w:t xml:space="preserve">De Standaard </w:t>
      </w:r>
      <w:r>
        <w:t xml:space="preserve">10-11 november 2021, 8. </w:t>
      </w:r>
    </w:p>
  </w:footnote>
  <w:footnote w:id="87">
    <w:p w14:paraId="6FA31E00" w14:textId="77777777" w:rsidR="004A3CD3" w:rsidRDefault="006C0598">
      <w:pPr>
        <w:pStyle w:val="footnotedescription"/>
        <w:spacing w:after="0"/>
      </w:pPr>
      <w:r>
        <w:rPr>
          <w:rStyle w:val="footnotemark"/>
        </w:rPr>
        <w:footnoteRef/>
      </w:r>
      <w:r>
        <w:t xml:space="preserve">  Federal Planning Bureau, </w:t>
      </w:r>
      <w:r>
        <w:rPr>
          <w:i/>
        </w:rPr>
        <w:t>Economic Outlook 2021-2026</w:t>
      </w:r>
      <w:r>
        <w:t xml:space="preserve">, June 2021, p. 16, available online. See.  </w:t>
      </w:r>
    </w:p>
    <w:p w14:paraId="5FC2D976" w14:textId="77777777" w:rsidR="004A3CD3" w:rsidRDefault="00B165DF">
      <w:pPr>
        <w:pStyle w:val="footnotedescription"/>
        <w:spacing w:after="0"/>
        <w:ind w:left="1030"/>
      </w:pPr>
      <w:hyperlink r:id="rId19">
        <w:r w:rsidR="006C0598">
          <w:rPr>
            <w:u w:val="single" w:color="000000"/>
          </w:rPr>
          <w:t>https://www.plan.be/publications/publication</w:t>
        </w:r>
      </w:hyperlink>
      <w:hyperlink r:id="rId20">
        <w:r w:rsidR="006C0598">
          <w:rPr>
            <w:u w:val="single" w:color="000000"/>
          </w:rPr>
          <w:t>-</w:t>
        </w:r>
      </w:hyperlink>
      <w:hyperlink r:id="rId21">
        <w:r w:rsidR="006C0598">
          <w:rPr>
            <w:u w:val="single" w:color="000000"/>
          </w:rPr>
          <w:t>2148</w:t>
        </w:r>
      </w:hyperlink>
      <w:hyperlink r:id="rId22">
        <w:r w:rsidR="006C0598">
          <w:rPr>
            <w:u w:val="single" w:color="000000"/>
          </w:rPr>
          <w:t>-</w:t>
        </w:r>
      </w:hyperlink>
      <w:hyperlink r:id="rId23">
        <w:r w:rsidR="006C0598">
          <w:rPr>
            <w:u w:val="single" w:color="000000"/>
          </w:rPr>
          <w:t>en</w:t>
        </w:r>
      </w:hyperlink>
      <w:hyperlink r:id="rId24">
        <w:r w:rsidR="006C0598">
          <w:rPr>
            <w:u w:val="single" w:color="000000"/>
          </w:rPr>
          <w:t>-</w:t>
        </w:r>
      </w:hyperlink>
      <w:hyperlink r:id="rId25">
        <w:r w:rsidR="006C0598">
          <w:rPr>
            <w:u w:val="single" w:color="000000"/>
          </w:rPr>
          <w:t>regional_economic_forecasts_2021_</w:t>
        </w:r>
      </w:hyperlink>
      <w:hyperlink r:id="rId26">
        <w:r w:rsidR="006C0598">
          <w:rPr>
            <w:u w:val="single" w:color="000000"/>
          </w:rPr>
          <w:t>2026</w:t>
        </w:r>
      </w:hyperlink>
      <w:hyperlink r:id="rId27">
        <w:r w:rsidR="006C0598">
          <w:t xml:space="preserve">  </w:t>
        </w:r>
      </w:hyperlink>
    </w:p>
  </w:footnote>
  <w:footnote w:id="88">
    <w:p w14:paraId="511D809F" w14:textId="77777777" w:rsidR="004A3CD3" w:rsidRDefault="006C0598">
      <w:pPr>
        <w:pStyle w:val="footnotedescription"/>
        <w:spacing w:after="112"/>
      </w:pPr>
      <w:r>
        <w:rPr>
          <w:rStyle w:val="footnotemark"/>
        </w:rPr>
        <w:footnoteRef/>
      </w:r>
      <w:r>
        <w:t xml:space="preserve"> Judgement undertaken, p. 80. </w:t>
      </w:r>
    </w:p>
  </w:footnote>
  <w:footnote w:id="89">
    <w:p w14:paraId="73DC3E28" w14:textId="77777777" w:rsidR="004A3CD3" w:rsidRDefault="006C0598">
      <w:pPr>
        <w:pStyle w:val="footnotedescription"/>
        <w:spacing w:after="114"/>
      </w:pPr>
      <w:r>
        <w:rPr>
          <w:rStyle w:val="footnotemark"/>
        </w:rPr>
        <w:footnoteRef/>
      </w:r>
      <w:r>
        <w:t xml:space="preserve"> Judgement undertaken, p. 80. </w:t>
      </w:r>
    </w:p>
  </w:footnote>
  <w:footnote w:id="90">
    <w:p w14:paraId="63498209" w14:textId="77777777" w:rsidR="004A3CD3" w:rsidRDefault="006C0598">
      <w:pPr>
        <w:pStyle w:val="footnotedescription"/>
        <w:spacing w:after="110"/>
      </w:pPr>
      <w:r>
        <w:rPr>
          <w:rStyle w:val="footnotemark"/>
        </w:rPr>
        <w:footnoteRef/>
      </w:r>
      <w:r>
        <w:t xml:space="preserve"> Judgement undertaken, pp. 80-82. </w:t>
      </w:r>
    </w:p>
  </w:footnote>
  <w:footnote w:id="91">
    <w:p w14:paraId="160E76B4" w14:textId="77777777" w:rsidR="004A3CD3" w:rsidRDefault="006C0598">
      <w:pPr>
        <w:pStyle w:val="footnotedescription"/>
      </w:pPr>
      <w:r>
        <w:rPr>
          <w:rStyle w:val="footnotemark"/>
        </w:rPr>
        <w:footnoteRef/>
      </w:r>
      <w:r>
        <w:t xml:space="preserve"> Judgement undertaken, p. 82. </w:t>
      </w:r>
    </w:p>
  </w:footnote>
  <w:footnote w:id="92">
    <w:p w14:paraId="43EC8C4A" w14:textId="77777777" w:rsidR="004A3CD3" w:rsidRDefault="006C0598">
      <w:pPr>
        <w:pStyle w:val="footnotedescription"/>
        <w:spacing w:after="0"/>
      </w:pPr>
      <w:r>
        <w:rPr>
          <w:rStyle w:val="footnotemark"/>
        </w:rPr>
        <w:footnoteRef/>
      </w:r>
      <w:r>
        <w:t xml:space="preserve"> Judgment undertaken, 82. </w:t>
      </w:r>
    </w:p>
  </w:footnote>
  <w:footnote w:id="93">
    <w:p w14:paraId="64CED5DC" w14:textId="77777777" w:rsidR="004A3CD3" w:rsidRDefault="006C0598">
      <w:pPr>
        <w:pStyle w:val="footnotedescription"/>
        <w:spacing w:after="105" w:line="242" w:lineRule="auto"/>
        <w:ind w:left="1030" w:right="804" w:hanging="283"/>
        <w:jc w:val="both"/>
      </w:pPr>
      <w:r>
        <w:rPr>
          <w:rStyle w:val="footnotemark"/>
        </w:rPr>
        <w:footnoteRef/>
      </w:r>
      <w:r>
        <w:rPr>
          <w:i/>
        </w:rPr>
        <w:t xml:space="preserve"> </w:t>
      </w:r>
      <w:r>
        <w:t xml:space="preserve"> Nederlandstalige rechtbank van eerste aanleg te Brussel, L. Craeynest </w:t>
      </w:r>
      <w:r>
        <w:rPr>
          <w:i/>
        </w:rPr>
        <w:t>et al</w:t>
      </w:r>
      <w:r>
        <w:t>. v. Brussels Hoofdstedelijk Gewest en Leefmilieu Brussel, 29 January 2021, RG 2016/3659/A: "</w:t>
      </w:r>
      <w:r>
        <w:rPr>
          <w:i/>
        </w:rPr>
        <w:t xml:space="preserve">Het grondwettelijk beginsel van de scheiding der machten de rechter verbiedt het bestuur te verplichten om een bepaalde maatregel te nemen, wanneer niet blijkt dat dit de enige maatregel is die zonder schending van de wet kan worden genomen om de schade in natura te herstellen. </w:t>
      </w:r>
      <w:r>
        <w:t xml:space="preserve">" See </w:t>
      </w:r>
      <w:hyperlink r:id="rId28">
        <w:r>
          <w:rPr>
            <w:color w:val="0000FF"/>
            <w:u w:val="single" w:color="0000FF"/>
          </w:rPr>
          <w:t xml:space="preserve">https://www.politico.eu/wp-content/uploads/2021/01/29/Brussels-Air-pollution-judgement_29 </w:t>
        </w:r>
      </w:hyperlink>
      <w:hyperlink r:id="rId29"/>
      <w:hyperlink r:id="rId30">
        <w:r>
          <w:rPr>
            <w:color w:val="0000FF"/>
            <w:u w:val="single" w:color="0000FF"/>
          </w:rPr>
          <w:t>January-2021</w:t>
        </w:r>
      </w:hyperlink>
      <w:hyperlink r:id="rId31">
        <w:r>
          <w:rPr>
            <w:color w:val="0000FF"/>
            <w:u w:val="single" w:color="0000FF"/>
          </w:rPr>
          <w:t xml:space="preserve">.pdf </w:t>
        </w:r>
      </w:hyperlink>
      <w:hyperlink r:id="rId32">
        <w:r>
          <w:t xml:space="preserve">. </w:t>
        </w:r>
      </w:hyperlink>
    </w:p>
  </w:footnote>
  <w:footnote w:id="94">
    <w:p w14:paraId="6DEF5719" w14:textId="77777777" w:rsidR="004A3CD3" w:rsidRDefault="006C0598">
      <w:pPr>
        <w:pStyle w:val="footnotedescription"/>
        <w:spacing w:after="0" w:line="250" w:lineRule="auto"/>
        <w:ind w:left="1030" w:right="808" w:hanging="283"/>
        <w:jc w:val="both"/>
      </w:pPr>
      <w:r>
        <w:rPr>
          <w:rStyle w:val="footnotemark"/>
        </w:rPr>
        <w:footnoteRef/>
      </w:r>
      <w:r>
        <w:rPr>
          <w:i/>
        </w:rPr>
        <w:t xml:space="preserve"> </w:t>
      </w:r>
      <w:r>
        <w:t xml:space="preserve"> Nederlandstalige rechtbank van eerste aanleg te Brussel, vzw Greenpeace Belgium v. Vlaams Gewest, 10 October 2018, </w:t>
      </w:r>
      <w:r>
        <w:rPr>
          <w:i/>
        </w:rPr>
        <w:t xml:space="preserve">Tijdschrift voor Milieurecht </w:t>
      </w:r>
      <w:r>
        <w:t>2018, 706-724: "</w:t>
      </w:r>
      <w:r>
        <w:rPr>
          <w:i/>
        </w:rPr>
        <w:t xml:space="preserve">De beleidsvrijheid van de regelgevende overheid moet worden geëerbiedigd, wat wil zeggen in de rechter de overheid niet mag verplichten deze of geen maatregel (niet) te </w:t>
      </w:r>
    </w:p>
  </w:footnote>
  <w:footnote w:id="95">
    <w:p w14:paraId="11ED55CB" w14:textId="77777777" w:rsidR="004A3CD3" w:rsidRDefault="006C0598">
      <w:pPr>
        <w:pStyle w:val="footnotedescription"/>
        <w:spacing w:after="113"/>
      </w:pPr>
      <w:r>
        <w:rPr>
          <w:rStyle w:val="footnotemark"/>
        </w:rPr>
        <w:footnoteRef/>
      </w:r>
      <w:r>
        <w:t xml:space="preserve"> Cass. (1st ch.), 27 October 2006, R.G. n° C.03.0584.N. </w:t>
      </w:r>
    </w:p>
  </w:footnote>
  <w:footnote w:id="96">
    <w:p w14:paraId="5900FC06" w14:textId="77777777" w:rsidR="004A3CD3" w:rsidRDefault="006C0598">
      <w:pPr>
        <w:pStyle w:val="footnotedescription"/>
      </w:pPr>
      <w:r>
        <w:rPr>
          <w:rStyle w:val="footnotemark"/>
        </w:rPr>
        <w:footnoteRef/>
      </w:r>
      <w:r>
        <w:t xml:space="preserve"> Civ. Liège, 9 October 2018, </w:t>
      </w:r>
      <w:r>
        <w:rPr>
          <w:i/>
        </w:rPr>
        <w:t xml:space="preserve">J.L.M.B., </w:t>
      </w:r>
      <w:r>
        <w:t xml:space="preserve">2018, pp. 1917-1933. </w:t>
      </w:r>
    </w:p>
  </w:footnote>
  <w:footnote w:id="97">
    <w:p w14:paraId="15D163A0" w14:textId="77777777" w:rsidR="004A3CD3" w:rsidRDefault="006C0598">
      <w:pPr>
        <w:pStyle w:val="footnotedescription"/>
        <w:spacing w:after="116"/>
      </w:pPr>
      <w:r>
        <w:rPr>
          <w:rStyle w:val="footnotemark"/>
        </w:rPr>
        <w:footnoteRef/>
      </w:r>
      <w:r>
        <w:t xml:space="preserve"> Eur. Court of Human Rights, </w:t>
      </w:r>
      <w:r>
        <w:rPr>
          <w:i/>
        </w:rPr>
        <w:t xml:space="preserve">Fabris v. France </w:t>
      </w:r>
      <w:r>
        <w:t xml:space="preserve">judgment, 7 February 2013, § 72. </w:t>
      </w:r>
    </w:p>
  </w:footnote>
  <w:footnote w:id="98">
    <w:p w14:paraId="1CE7A4C1" w14:textId="77777777" w:rsidR="004A3CD3" w:rsidRDefault="006C0598">
      <w:pPr>
        <w:pStyle w:val="footnotedescription"/>
        <w:spacing w:after="0"/>
      </w:pPr>
      <w:r>
        <w:rPr>
          <w:rStyle w:val="footnotemark"/>
        </w:rPr>
        <w:footnoteRef/>
      </w:r>
      <w:r>
        <w:t xml:space="preserve"> S. VAN DROOGHENBROECK </w:t>
      </w:r>
      <w:r>
        <w:rPr>
          <w:i/>
        </w:rPr>
        <w:t>et al</w:t>
      </w:r>
      <w:r>
        <w:t xml:space="preserve">, "Urgenda: what lessons for Belgium", </w:t>
      </w:r>
      <w:r>
        <w:rPr>
          <w:i/>
        </w:rPr>
        <w:t xml:space="preserve">A.P.T. </w:t>
      </w:r>
      <w:r>
        <w:t xml:space="preserve">2021/1, p. 23-24. </w:t>
      </w:r>
    </w:p>
  </w:footnote>
  <w:footnote w:id="99">
    <w:p w14:paraId="7DA8395B" w14:textId="77777777" w:rsidR="004A3CD3" w:rsidRDefault="006C0598">
      <w:pPr>
        <w:pStyle w:val="footnotedescription"/>
        <w:spacing w:after="82" w:line="294" w:lineRule="auto"/>
        <w:ind w:right="804"/>
      </w:pPr>
      <w:r>
        <w:rPr>
          <w:rStyle w:val="footnotemark"/>
        </w:rPr>
        <w:footnoteRef/>
      </w:r>
      <w:hyperlink r:id="rId33" w:anchor="Le_protocole_de_1996">
        <w:r>
          <w:rPr>
            <w:u w:val="single" w:color="000000"/>
          </w:rPr>
          <w:t xml:space="preserve"> See </w:t>
        </w:r>
      </w:hyperlink>
      <w:r>
        <w:t xml:space="preserve"> https://fr.wikipedia.org/wiki/Conve</w:t>
      </w:r>
      <w:hyperlink r:id="rId34" w:anchor="Le_protocole_de_1996">
        <w:r>
          <w:rPr>
            <w:u w:val="single" w:color="000000"/>
          </w:rPr>
          <w:t xml:space="preserve">ntion_sur_la_pr%C3%A9vention_de_la_pollution_des_mers_r%C3%A9sultant </w:t>
        </w:r>
      </w:hyperlink>
      <w:hyperlink r:id="rId35" w:anchor="Le_protocole_de_1996">
        <w:r>
          <w:rPr>
            <w:u w:val="single" w:color="000000"/>
          </w:rPr>
          <w:t xml:space="preserve">_of_the_27immersion_of_C3%A9chets#The_1996_Protocol </w:t>
        </w:r>
      </w:hyperlink>
      <w:r>
        <w:rPr>
          <w:vertAlign w:val="superscript"/>
        </w:rPr>
        <w:t>115</w:t>
      </w:r>
      <w:r>
        <w:t xml:space="preserve">Judgment Undertaken, at 59. </w:t>
      </w:r>
    </w:p>
  </w:footnote>
  <w:footnote w:id="100">
    <w:p w14:paraId="39AD4F92" w14:textId="77777777" w:rsidR="004A3CD3" w:rsidRDefault="006C0598">
      <w:pPr>
        <w:pStyle w:val="footnotedescription"/>
        <w:spacing w:after="0"/>
      </w:pPr>
      <w:r>
        <w:rPr>
          <w:rStyle w:val="footnotemark"/>
        </w:rPr>
        <w:footnoteRef/>
      </w:r>
      <w:r>
        <w:t xml:space="preserve"> Judgement undertaken, p. 62. </w:t>
      </w:r>
    </w:p>
  </w:footnote>
  <w:footnote w:id="101">
    <w:p w14:paraId="48D26317" w14:textId="77777777" w:rsidR="004A3CD3" w:rsidRDefault="006C0598">
      <w:pPr>
        <w:pStyle w:val="footnotedescription"/>
        <w:spacing w:after="111" w:line="247" w:lineRule="auto"/>
        <w:ind w:left="1030" w:right="445" w:hanging="283"/>
        <w:jc w:val="both"/>
      </w:pPr>
      <w:r>
        <w:rPr>
          <w:rStyle w:val="footnotemark"/>
        </w:rPr>
        <w:footnoteRef/>
      </w:r>
      <w:r>
        <w:t xml:space="preserve">  See e.g. Cass. 25 October 2004, </w:t>
      </w:r>
      <w:r>
        <w:rPr>
          <w:i/>
        </w:rPr>
        <w:t xml:space="preserve">JLMB </w:t>
      </w:r>
      <w:r>
        <w:t xml:space="preserve">2005, p. 638, Exhibit M.11 and Cass. 10 September 2010, </w:t>
      </w:r>
      <w:r>
        <w:rPr>
          <w:i/>
        </w:rPr>
        <w:t>Pas.</w:t>
      </w:r>
      <w:r>
        <w:t xml:space="preserve"> 2010, no. 508, p. 2229, Exhibit M.16. </w:t>
      </w:r>
    </w:p>
  </w:footnote>
  <w:footnote w:id="102">
    <w:p w14:paraId="4A303508" w14:textId="77777777" w:rsidR="004A3CD3" w:rsidRDefault="006C0598">
      <w:pPr>
        <w:pStyle w:val="footnotedescription"/>
        <w:spacing w:after="110" w:line="250" w:lineRule="auto"/>
        <w:ind w:left="1030" w:right="355" w:hanging="283"/>
        <w:jc w:val="both"/>
      </w:pPr>
      <w:r>
        <w:rPr>
          <w:rStyle w:val="footnotemark"/>
        </w:rPr>
        <w:footnoteRef/>
      </w:r>
      <w:r>
        <w:t xml:space="preserve"> J. VANDE LANOTTE and Y. HAECK, </w:t>
      </w:r>
      <w:r>
        <w:rPr>
          <w:i/>
        </w:rPr>
        <w:t>Handboek EVRM. Deel 1 Algemene beginselen</w:t>
      </w:r>
      <w:r>
        <w:t xml:space="preserve">, Antwerpen-Oxford, Intersentia, 2005, p. 204 f.s., specifically p. 214-215. </w:t>
      </w:r>
    </w:p>
  </w:footnote>
  <w:footnote w:id="103">
    <w:p w14:paraId="366F5F48" w14:textId="77777777" w:rsidR="004A3CD3" w:rsidRDefault="006C0598">
      <w:pPr>
        <w:pStyle w:val="footnotedescription"/>
        <w:spacing w:after="115"/>
      </w:pPr>
      <w:r>
        <w:rPr>
          <w:rStyle w:val="footnotemark"/>
        </w:rPr>
        <w:footnoteRef/>
      </w:r>
      <w:r>
        <w:t xml:space="preserve"> </w:t>
      </w:r>
      <w:r>
        <w:rPr>
          <w:i/>
        </w:rPr>
        <w:t xml:space="preserve">Ibid. </w:t>
      </w:r>
      <w:r>
        <w:t xml:space="preserve">, p. 211.  </w:t>
      </w:r>
    </w:p>
  </w:footnote>
  <w:footnote w:id="104">
    <w:p w14:paraId="69A70BCB" w14:textId="77777777" w:rsidR="004A3CD3" w:rsidRDefault="006C0598">
      <w:pPr>
        <w:pStyle w:val="footnotedescription"/>
        <w:spacing w:after="116"/>
      </w:pPr>
      <w:r>
        <w:rPr>
          <w:rStyle w:val="footnotemark"/>
        </w:rPr>
        <w:footnoteRef/>
      </w:r>
      <w:r>
        <w:t xml:space="preserve"> Eur. Court of Human Rights, </w:t>
      </w:r>
      <w:r>
        <w:rPr>
          <w:i/>
        </w:rPr>
        <w:t xml:space="preserve">Fabris v. France </w:t>
      </w:r>
      <w:r>
        <w:t xml:space="preserve">judgment, 7 February 2013, § 72. </w:t>
      </w:r>
    </w:p>
  </w:footnote>
  <w:footnote w:id="105">
    <w:p w14:paraId="487C6541" w14:textId="77777777" w:rsidR="004A3CD3" w:rsidRDefault="006C0598">
      <w:pPr>
        <w:pStyle w:val="footnotedescription"/>
        <w:spacing w:after="0" w:line="247" w:lineRule="auto"/>
        <w:ind w:left="1030" w:right="134" w:hanging="283"/>
        <w:jc w:val="both"/>
      </w:pPr>
      <w:r>
        <w:rPr>
          <w:rStyle w:val="footnotemark"/>
        </w:rPr>
        <w:footnoteRef/>
      </w:r>
      <w:r>
        <w:t xml:space="preserve">  Quoted by S. Van Drooghenbroeck </w:t>
      </w:r>
      <w:r>
        <w:rPr>
          <w:i/>
        </w:rPr>
        <w:t xml:space="preserve">et al </w:t>
      </w:r>
      <w:r>
        <w:t xml:space="preserve">: S. VAN DROOGHENBROECK </w:t>
      </w:r>
      <w:r>
        <w:rPr>
          <w:i/>
        </w:rPr>
        <w:t>et al</w:t>
      </w:r>
      <w:r>
        <w:t xml:space="preserve">, "Urgenda: what lessons for Belgium?", </w:t>
      </w:r>
      <w:r>
        <w:rPr>
          <w:i/>
        </w:rPr>
        <w:t xml:space="preserve">A.P.T. </w:t>
      </w:r>
      <w:r>
        <w:t xml:space="preserve">2021/1, p. 23, where the authors examine the proper use of the national margin of appreciation. </w:t>
      </w:r>
    </w:p>
  </w:footnote>
  <w:footnote w:id="106">
    <w:p w14:paraId="674547C7" w14:textId="77777777" w:rsidR="004A3CD3" w:rsidRDefault="006C0598">
      <w:pPr>
        <w:pStyle w:val="footnotedescription"/>
        <w:spacing w:after="118"/>
      </w:pPr>
      <w:r>
        <w:rPr>
          <w:rStyle w:val="footnotemark"/>
        </w:rPr>
        <w:footnoteRef/>
      </w:r>
      <w:r>
        <w:t xml:space="preserve"> Judgement undertaken, p. 64. </w:t>
      </w:r>
    </w:p>
  </w:footnote>
  <w:footnote w:id="107">
    <w:p w14:paraId="67DF7CF9" w14:textId="77777777" w:rsidR="004A3CD3" w:rsidRDefault="006C0598">
      <w:pPr>
        <w:pStyle w:val="footnotedescription"/>
        <w:spacing w:after="114"/>
      </w:pPr>
      <w:r>
        <w:rPr>
          <w:rStyle w:val="footnotemark"/>
        </w:rPr>
        <w:footnoteRef/>
      </w:r>
      <w:r>
        <w:t xml:space="preserve"> </w:t>
      </w:r>
      <w:r>
        <w:rPr>
          <w:i/>
        </w:rPr>
        <w:t>Supra</w:t>
      </w:r>
      <w:r>
        <w:t xml:space="preserve">, no. 41-42. </w:t>
      </w:r>
    </w:p>
  </w:footnote>
  <w:footnote w:id="108">
    <w:p w14:paraId="03CA5AF1" w14:textId="77777777" w:rsidR="004A3CD3" w:rsidRDefault="006C0598">
      <w:pPr>
        <w:pStyle w:val="footnotedescription"/>
        <w:spacing w:after="0"/>
      </w:pPr>
      <w:r>
        <w:rPr>
          <w:rStyle w:val="footnotemark"/>
        </w:rPr>
        <w:footnoteRef/>
      </w:r>
      <w:r>
        <w:t xml:space="preserve"> </w:t>
      </w:r>
      <w:r>
        <w:rPr>
          <w:i/>
        </w:rPr>
        <w:t>Supra</w:t>
      </w:r>
      <w:r>
        <w:t xml:space="preserve">, no. 37. </w:t>
      </w:r>
    </w:p>
  </w:footnote>
  <w:footnote w:id="109">
    <w:p w14:paraId="050F740B" w14:textId="77777777" w:rsidR="004A3CD3" w:rsidRDefault="006C0598">
      <w:pPr>
        <w:pStyle w:val="footnotedescription"/>
        <w:spacing w:after="0"/>
      </w:pPr>
      <w:r>
        <w:rPr>
          <w:rStyle w:val="footnotemark"/>
        </w:rPr>
        <w:footnoteRef/>
      </w:r>
      <w:r>
        <w:t xml:space="preserve"> G. BOOGAARD &amp; R. J. B. SCHUTGENS, "Na ons de zondvloed," </w:t>
      </w:r>
      <w:r>
        <w:rPr>
          <w:i/>
        </w:rPr>
        <w:t>JCDI</w:t>
      </w:r>
      <w:r>
        <w:t xml:space="preserve">, 12 Juni 2019, p. 7, Exhibit J.3. </w:t>
      </w:r>
    </w:p>
  </w:footnote>
  <w:footnote w:id="110">
    <w:p w14:paraId="3CE38F15" w14:textId="77777777" w:rsidR="004A3CD3" w:rsidRDefault="006C0598">
      <w:pPr>
        <w:pStyle w:val="footnotedescription"/>
        <w:spacing w:after="0" w:line="257" w:lineRule="auto"/>
        <w:ind w:left="1030" w:right="805" w:hanging="283"/>
        <w:jc w:val="both"/>
      </w:pPr>
      <w:r>
        <w:rPr>
          <w:rStyle w:val="footnotemark"/>
        </w:rPr>
        <w:footnoteRef/>
      </w:r>
      <w:r>
        <w:t xml:space="preserve"> Royal Decree of 26 October 2007 fixing the tariff of procedural allowances referred to in Article 1022 of the Judicial Code and fixing the date of entry into force of Articles 1</w:t>
      </w:r>
      <w:r>
        <w:rPr>
          <w:vertAlign w:val="superscript"/>
        </w:rPr>
        <w:t>er</w:t>
      </w:r>
      <w:r>
        <w:t xml:space="preserve">to 13 of the Act of 21 April 2007 on the repeatability of </w:t>
      </w:r>
      <w:r>
        <w:rPr>
          <w:sz w:val="20"/>
        </w:rPr>
        <w:t xml:space="preserve">lawyers' </w:t>
      </w:r>
      <w:r>
        <w:t xml:space="preserve">fees and costs.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8B51" w14:textId="6CD43843" w:rsidR="00831397" w:rsidRDefault="00B165DF">
    <w:pPr>
      <w:pStyle w:val="Header"/>
    </w:pPr>
    <w:r>
      <w:rPr>
        <w:noProof/>
      </w:rPr>
      <w:pict w14:anchorId="247F55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59951" o:spid="_x0000_s1027" type="#_x0000_t136" alt="" style="position:absolute;left:0;text-align:left;margin-left:0;margin-top:0;width:638.85pt;height:79.85pt;rotation:315;z-index:-2516490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Machinetranslatio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8CC0C" w14:textId="13DBBA99" w:rsidR="00831397" w:rsidRDefault="00B165DF">
    <w:pPr>
      <w:pStyle w:val="Header"/>
    </w:pPr>
    <w:r>
      <w:rPr>
        <w:noProof/>
      </w:rPr>
      <w:pict w14:anchorId="6F923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59952" o:spid="_x0000_s1026" type="#_x0000_t136" alt="" style="position:absolute;left:0;text-align:left;margin-left:0;margin-top:0;width:638.85pt;height:79.85pt;rotation:315;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Machinetranslatio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8395" w14:textId="4E3C40CB" w:rsidR="00831397" w:rsidRDefault="00B165DF">
    <w:pPr>
      <w:pStyle w:val="Header"/>
    </w:pPr>
    <w:r>
      <w:rPr>
        <w:noProof/>
      </w:rPr>
      <w:pict w14:anchorId="788E81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59950" o:spid="_x0000_s1025" type="#_x0000_t136" alt="" style="position:absolute;left:0;text-align:left;margin-left:0;margin-top:0;width:638.85pt;height:79.8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Machinetranslatio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D0E"/>
    <w:multiLevelType w:val="hybridMultilevel"/>
    <w:tmpl w:val="16E6CF88"/>
    <w:lvl w:ilvl="0" w:tplc="2C3C4E1E">
      <w:start w:val="114"/>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E0D1D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EA131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84945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0EEC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6A86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B2A55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5811C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6C000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C35640"/>
    <w:multiLevelType w:val="hybridMultilevel"/>
    <w:tmpl w:val="468E0418"/>
    <w:lvl w:ilvl="0" w:tplc="8F20425C">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164A36">
      <w:start w:val="1"/>
      <w:numFmt w:val="bullet"/>
      <w:lvlRestart w:val="0"/>
      <w:lvlText w:val="-"/>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98E9D6">
      <w:start w:val="1"/>
      <w:numFmt w:val="bullet"/>
      <w:lvlText w:val="▪"/>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FC487E">
      <w:start w:val="1"/>
      <w:numFmt w:val="bullet"/>
      <w:lvlText w:val="•"/>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1E0C1BA">
      <w:start w:val="1"/>
      <w:numFmt w:val="bullet"/>
      <w:lvlText w:val="o"/>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261EFE">
      <w:start w:val="1"/>
      <w:numFmt w:val="bullet"/>
      <w:lvlText w:val="▪"/>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84B8EA">
      <w:start w:val="1"/>
      <w:numFmt w:val="bullet"/>
      <w:lvlText w:val="•"/>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B6F258">
      <w:start w:val="1"/>
      <w:numFmt w:val="bullet"/>
      <w:lvlText w:val="o"/>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906358">
      <w:start w:val="1"/>
      <w:numFmt w:val="bullet"/>
      <w:lvlText w:val="▪"/>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C87FBF"/>
    <w:multiLevelType w:val="hybridMultilevel"/>
    <w:tmpl w:val="18000692"/>
    <w:lvl w:ilvl="0" w:tplc="8A4E7AB6">
      <w:start w:val="32"/>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70D7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761BB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8CAC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8C22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00050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6EF6F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A4A46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8A9C9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EC632E"/>
    <w:multiLevelType w:val="hybridMultilevel"/>
    <w:tmpl w:val="5E2087BE"/>
    <w:lvl w:ilvl="0" w:tplc="01A8DE86">
      <w:start w:val="8"/>
      <w:numFmt w:val="upperRoman"/>
      <w:pStyle w:val="Heading1"/>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6CE1EA">
      <w:start w:val="1"/>
      <w:numFmt w:val="lowerLetter"/>
      <w:lvlText w:val="%2"/>
      <w:lvlJc w:val="left"/>
      <w:pPr>
        <w:ind w:left="1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1617F2">
      <w:start w:val="1"/>
      <w:numFmt w:val="lowerRoman"/>
      <w:lvlText w:val="%3"/>
      <w:lvlJc w:val="left"/>
      <w:pPr>
        <w:ind w:left="2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3CA6A2">
      <w:start w:val="1"/>
      <w:numFmt w:val="decimal"/>
      <w:lvlText w:val="%4"/>
      <w:lvlJc w:val="left"/>
      <w:pPr>
        <w:ind w:left="2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A85E78">
      <w:start w:val="1"/>
      <w:numFmt w:val="lowerLetter"/>
      <w:lvlText w:val="%5"/>
      <w:lvlJc w:val="left"/>
      <w:pPr>
        <w:ind w:left="3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62F4F4">
      <w:start w:val="1"/>
      <w:numFmt w:val="lowerRoman"/>
      <w:lvlText w:val="%6"/>
      <w:lvlJc w:val="left"/>
      <w:pPr>
        <w:ind w:left="4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C2A862">
      <w:start w:val="1"/>
      <w:numFmt w:val="decimal"/>
      <w:lvlText w:val="%7"/>
      <w:lvlJc w:val="left"/>
      <w:pPr>
        <w:ind w:left="4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8470A4">
      <w:start w:val="1"/>
      <w:numFmt w:val="lowerLetter"/>
      <w:lvlText w:val="%8"/>
      <w:lvlJc w:val="left"/>
      <w:pPr>
        <w:ind w:left="5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682B6A0">
      <w:start w:val="1"/>
      <w:numFmt w:val="lowerRoman"/>
      <w:lvlText w:val="%9"/>
      <w:lvlJc w:val="left"/>
      <w:pPr>
        <w:ind w:left="6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5C7D03"/>
    <w:multiLevelType w:val="hybridMultilevel"/>
    <w:tmpl w:val="3FE0E1B4"/>
    <w:lvl w:ilvl="0" w:tplc="48A07D00">
      <w:start w:val="4"/>
      <w:numFmt w:val="upperRoman"/>
      <w:lvlText w:val="%1."/>
      <w:lvlJc w:val="left"/>
      <w:pPr>
        <w:ind w:left="10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D882A11C">
      <w:start w:val="72"/>
      <w:numFmt w:val="decimal"/>
      <w:lvlRestart w:val="0"/>
      <w:lvlText w:val="%2."/>
      <w:lvlJc w:val="left"/>
      <w:pPr>
        <w:ind w:left="1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F4B228">
      <w:start w:val="1"/>
      <w:numFmt w:val="lowerRoman"/>
      <w:lvlText w:val="%3"/>
      <w:lvlJc w:val="left"/>
      <w:pPr>
        <w:ind w:left="13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305D06">
      <w:start w:val="1"/>
      <w:numFmt w:val="decimal"/>
      <w:lvlText w:val="%4"/>
      <w:lvlJc w:val="left"/>
      <w:pPr>
        <w:ind w:left="2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688CFA">
      <w:start w:val="1"/>
      <w:numFmt w:val="lowerLetter"/>
      <w:lvlText w:val="%5"/>
      <w:lvlJc w:val="left"/>
      <w:pPr>
        <w:ind w:left="28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B24DA2">
      <w:start w:val="1"/>
      <w:numFmt w:val="lowerRoman"/>
      <w:lvlText w:val="%6"/>
      <w:lvlJc w:val="left"/>
      <w:pPr>
        <w:ind w:left="35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97E04CE">
      <w:start w:val="1"/>
      <w:numFmt w:val="decimal"/>
      <w:lvlText w:val="%7"/>
      <w:lvlJc w:val="left"/>
      <w:pPr>
        <w:ind w:left="42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96F0A4">
      <w:start w:val="1"/>
      <w:numFmt w:val="lowerLetter"/>
      <w:lvlText w:val="%8"/>
      <w:lvlJc w:val="left"/>
      <w:pPr>
        <w:ind w:left="49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1EA22C8">
      <w:start w:val="1"/>
      <w:numFmt w:val="lowerRoman"/>
      <w:lvlText w:val="%9"/>
      <w:lvlJc w:val="left"/>
      <w:pPr>
        <w:ind w:left="5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036E8F"/>
    <w:multiLevelType w:val="hybridMultilevel"/>
    <w:tmpl w:val="7A209AD4"/>
    <w:lvl w:ilvl="0" w:tplc="1EFC291E">
      <w:start w:val="15"/>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8CE37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0C340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DE8D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D21D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4A71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EE242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D05E4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ECB1C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DB25E4"/>
    <w:multiLevelType w:val="hybridMultilevel"/>
    <w:tmpl w:val="C98A34AE"/>
    <w:lvl w:ilvl="0" w:tplc="60EA6B66">
      <w:start w:val="1"/>
      <w:numFmt w:val="decimal"/>
      <w:lvlText w:val="%1."/>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D4B43E">
      <w:start w:val="1"/>
      <w:numFmt w:val="lowerLetter"/>
      <w:lvlText w:val="%2"/>
      <w:lvlJc w:val="left"/>
      <w:pPr>
        <w:ind w:left="3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4820FE">
      <w:start w:val="1"/>
      <w:numFmt w:val="lowerRoman"/>
      <w:lvlText w:val="%3"/>
      <w:lvlJc w:val="left"/>
      <w:pPr>
        <w:ind w:left="3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920504">
      <w:start w:val="1"/>
      <w:numFmt w:val="decimal"/>
      <w:lvlText w:val="%4"/>
      <w:lvlJc w:val="left"/>
      <w:pPr>
        <w:ind w:left="4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698AAAE">
      <w:start w:val="1"/>
      <w:numFmt w:val="lowerLetter"/>
      <w:lvlText w:val="%5"/>
      <w:lvlJc w:val="left"/>
      <w:pPr>
        <w:ind w:left="5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1467E6">
      <w:start w:val="1"/>
      <w:numFmt w:val="lowerRoman"/>
      <w:lvlText w:val="%6"/>
      <w:lvlJc w:val="left"/>
      <w:pPr>
        <w:ind w:left="6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D6EDCE">
      <w:start w:val="1"/>
      <w:numFmt w:val="decimal"/>
      <w:lvlText w:val="%7"/>
      <w:lvlJc w:val="left"/>
      <w:pPr>
        <w:ind w:left="6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E0A394">
      <w:start w:val="1"/>
      <w:numFmt w:val="lowerLetter"/>
      <w:lvlText w:val="%8"/>
      <w:lvlJc w:val="left"/>
      <w:pPr>
        <w:ind w:left="7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24B0EC">
      <w:start w:val="1"/>
      <w:numFmt w:val="lowerRoman"/>
      <w:lvlText w:val="%9"/>
      <w:lvlJc w:val="left"/>
      <w:pPr>
        <w:ind w:left="8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1818FE"/>
    <w:multiLevelType w:val="hybridMultilevel"/>
    <w:tmpl w:val="FD962340"/>
    <w:lvl w:ilvl="0" w:tplc="B972C41E">
      <w:start w:val="103"/>
      <w:numFmt w:val="decimal"/>
      <w:lvlText w:val="%1"/>
      <w:lvlJc w:val="left"/>
      <w:pPr>
        <w:ind w:left="1015"/>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1" w:tplc="4732D238">
      <w:start w:val="1"/>
      <w:numFmt w:val="lowerLetter"/>
      <w:lvlText w:val="%2"/>
      <w:lvlJc w:val="left"/>
      <w:pPr>
        <w:ind w:left="13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2" w:tplc="3E4C3A6E">
      <w:start w:val="1"/>
      <w:numFmt w:val="lowerRoman"/>
      <w:lvlText w:val="%3"/>
      <w:lvlJc w:val="left"/>
      <w:pPr>
        <w:ind w:left="20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3" w:tplc="047A0FF2">
      <w:start w:val="1"/>
      <w:numFmt w:val="decimal"/>
      <w:lvlText w:val="%4"/>
      <w:lvlJc w:val="left"/>
      <w:pPr>
        <w:ind w:left="28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4" w:tplc="093211A2">
      <w:start w:val="1"/>
      <w:numFmt w:val="lowerLetter"/>
      <w:lvlText w:val="%5"/>
      <w:lvlJc w:val="left"/>
      <w:pPr>
        <w:ind w:left="35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5" w:tplc="CF7EAD08">
      <w:start w:val="1"/>
      <w:numFmt w:val="lowerRoman"/>
      <w:lvlText w:val="%6"/>
      <w:lvlJc w:val="left"/>
      <w:pPr>
        <w:ind w:left="42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6" w:tplc="B144249A">
      <w:start w:val="1"/>
      <w:numFmt w:val="decimal"/>
      <w:lvlText w:val="%7"/>
      <w:lvlJc w:val="left"/>
      <w:pPr>
        <w:ind w:left="49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7" w:tplc="A516E3D0">
      <w:start w:val="1"/>
      <w:numFmt w:val="lowerLetter"/>
      <w:lvlText w:val="%8"/>
      <w:lvlJc w:val="left"/>
      <w:pPr>
        <w:ind w:left="56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8" w:tplc="2D2ECE0A">
      <w:start w:val="1"/>
      <w:numFmt w:val="lowerRoman"/>
      <w:lvlText w:val="%9"/>
      <w:lvlJc w:val="left"/>
      <w:pPr>
        <w:ind w:left="64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abstractNum>
  <w:abstractNum w:abstractNumId="8" w15:restartNumberingAfterBreak="0">
    <w:nsid w:val="11FC1DB9"/>
    <w:multiLevelType w:val="hybridMultilevel"/>
    <w:tmpl w:val="E67499C8"/>
    <w:lvl w:ilvl="0" w:tplc="1B4C7426">
      <w:start w:val="1"/>
      <w:numFmt w:val="upperRoman"/>
      <w:lvlText w:val="%1."/>
      <w:lvlJc w:val="left"/>
      <w:pPr>
        <w:ind w:left="1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C87C1E">
      <w:start w:val="1"/>
      <w:numFmt w:val="lowerLetter"/>
      <w:lvlText w:val="%2"/>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A0BBA8">
      <w:start w:val="1"/>
      <w:numFmt w:val="lowerRoman"/>
      <w:lvlText w:val="%3"/>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EEF3BE">
      <w:start w:val="1"/>
      <w:numFmt w:val="decimal"/>
      <w:lvlText w:val="%4"/>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6B44124">
      <w:start w:val="1"/>
      <w:numFmt w:val="lowerLetter"/>
      <w:lvlText w:val="%5"/>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46C596">
      <w:start w:val="1"/>
      <w:numFmt w:val="lowerRoman"/>
      <w:lvlText w:val="%6"/>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C03962">
      <w:start w:val="1"/>
      <w:numFmt w:val="decimal"/>
      <w:lvlText w:val="%7"/>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D03BF0">
      <w:start w:val="1"/>
      <w:numFmt w:val="lowerLetter"/>
      <w:lvlText w:val="%8"/>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18481A">
      <w:start w:val="1"/>
      <w:numFmt w:val="lowerRoman"/>
      <w:lvlText w:val="%9"/>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21F6099"/>
    <w:multiLevelType w:val="hybridMultilevel"/>
    <w:tmpl w:val="2B6633CA"/>
    <w:lvl w:ilvl="0" w:tplc="247C1DD2">
      <w:start w:val="13"/>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4E5BDC">
      <w:start w:val="1"/>
      <w:numFmt w:val="decimal"/>
      <w:lvlText w:val="%2."/>
      <w:lvlJc w:val="left"/>
      <w:pPr>
        <w:ind w:left="1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046410">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C408A6">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D0ADE6">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DE7CF0">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0ECA62">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022D12">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10D418">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549355B"/>
    <w:multiLevelType w:val="hybridMultilevel"/>
    <w:tmpl w:val="33443350"/>
    <w:lvl w:ilvl="0" w:tplc="DA129E2E">
      <w:start w:val="131"/>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9AEF1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24E9A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A4A63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E88C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427E9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5CB7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3843E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0CFA9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61A07F5"/>
    <w:multiLevelType w:val="hybridMultilevel"/>
    <w:tmpl w:val="FC0036B4"/>
    <w:lvl w:ilvl="0" w:tplc="E6107CCA">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52A7D2">
      <w:start w:val="1"/>
      <w:numFmt w:val="bullet"/>
      <w:lvlRestart w:val="0"/>
      <w:lvlText w:val="-"/>
      <w:lvlJc w:val="left"/>
      <w:pPr>
        <w:ind w:left="1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540E62">
      <w:start w:val="1"/>
      <w:numFmt w:val="bullet"/>
      <w:lvlText w:val="▪"/>
      <w:lvlJc w:val="left"/>
      <w:pPr>
        <w:ind w:left="2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4EB730">
      <w:start w:val="1"/>
      <w:numFmt w:val="bullet"/>
      <w:lvlText w:val="•"/>
      <w:lvlJc w:val="left"/>
      <w:pPr>
        <w:ind w:left="2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CA0D16">
      <w:start w:val="1"/>
      <w:numFmt w:val="bullet"/>
      <w:lvlText w:val="o"/>
      <w:lvlJc w:val="left"/>
      <w:pPr>
        <w:ind w:left="3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B7E5922">
      <w:start w:val="1"/>
      <w:numFmt w:val="bullet"/>
      <w:lvlText w:val="▪"/>
      <w:lvlJc w:val="left"/>
      <w:pPr>
        <w:ind w:left="4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2EDF50">
      <w:start w:val="1"/>
      <w:numFmt w:val="bullet"/>
      <w:lvlText w:val="•"/>
      <w:lvlJc w:val="left"/>
      <w:pPr>
        <w:ind w:left="4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7A556C">
      <w:start w:val="1"/>
      <w:numFmt w:val="bullet"/>
      <w:lvlText w:val="o"/>
      <w:lvlJc w:val="left"/>
      <w:pPr>
        <w:ind w:left="5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FE210E">
      <w:start w:val="1"/>
      <w:numFmt w:val="bullet"/>
      <w:lvlText w:val="▪"/>
      <w:lvlJc w:val="left"/>
      <w:pPr>
        <w:ind w:left="6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D341C07"/>
    <w:multiLevelType w:val="hybridMultilevel"/>
    <w:tmpl w:val="F5BE1288"/>
    <w:lvl w:ilvl="0" w:tplc="491C23C8">
      <w:start w:val="43"/>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624B0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0C86B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B6B5B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E403E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0DC29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AE4CF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3A8BA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5417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4481145"/>
    <w:multiLevelType w:val="hybridMultilevel"/>
    <w:tmpl w:val="5862FBE2"/>
    <w:lvl w:ilvl="0" w:tplc="9B9E9A5E">
      <w:start w:val="3"/>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BED5AA">
      <w:start w:val="1"/>
      <w:numFmt w:val="bullet"/>
      <w:lvlText w:val="-"/>
      <w:lvlJc w:val="left"/>
      <w:pPr>
        <w:ind w:left="1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E8C6940">
      <w:start w:val="1"/>
      <w:numFmt w:val="bullet"/>
      <w:lvlText w:val="▪"/>
      <w:lvlJc w:val="left"/>
      <w:pPr>
        <w:ind w:left="19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BE9662">
      <w:start w:val="1"/>
      <w:numFmt w:val="bullet"/>
      <w:lvlText w:val="•"/>
      <w:lvlJc w:val="left"/>
      <w:pPr>
        <w:ind w:left="27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54572C">
      <w:start w:val="1"/>
      <w:numFmt w:val="bullet"/>
      <w:lvlText w:val="o"/>
      <w:lvlJc w:val="left"/>
      <w:pPr>
        <w:ind w:left="3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4074F8">
      <w:start w:val="1"/>
      <w:numFmt w:val="bullet"/>
      <w:lvlText w:val="▪"/>
      <w:lvlJc w:val="left"/>
      <w:pPr>
        <w:ind w:left="4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C024EA">
      <w:start w:val="1"/>
      <w:numFmt w:val="bullet"/>
      <w:lvlText w:val="•"/>
      <w:lvlJc w:val="left"/>
      <w:pPr>
        <w:ind w:left="48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D018CA">
      <w:start w:val="1"/>
      <w:numFmt w:val="bullet"/>
      <w:lvlText w:val="o"/>
      <w:lvlJc w:val="left"/>
      <w:pPr>
        <w:ind w:left="55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988408">
      <w:start w:val="1"/>
      <w:numFmt w:val="bullet"/>
      <w:lvlText w:val="▪"/>
      <w:lvlJc w:val="left"/>
      <w:pPr>
        <w:ind w:left="6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040E60"/>
    <w:multiLevelType w:val="hybridMultilevel"/>
    <w:tmpl w:val="3454FF3A"/>
    <w:lvl w:ilvl="0" w:tplc="EE4694A2">
      <w:start w:val="102"/>
      <w:numFmt w:val="decimal"/>
      <w:lvlText w:val="%1."/>
      <w:lvlJc w:val="left"/>
      <w:pPr>
        <w:ind w:left="1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E67CE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00EBD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32A53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1C36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3025C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E652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8A256D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F62E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C2B309F"/>
    <w:multiLevelType w:val="hybridMultilevel"/>
    <w:tmpl w:val="E972769C"/>
    <w:lvl w:ilvl="0" w:tplc="9A402BA6">
      <w:start w:val="112"/>
      <w:numFmt w:val="decimal"/>
      <w:lvlText w:val="%1."/>
      <w:lvlJc w:val="left"/>
      <w:pPr>
        <w:ind w:left="1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AA7DA">
      <w:start w:val="83"/>
      <w:numFmt w:val="decimal"/>
      <w:lvlText w:val="%2"/>
      <w:lvlJc w:val="left"/>
      <w:pPr>
        <w:ind w:left="10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2" w:tplc="C85858B8">
      <w:start w:val="1"/>
      <w:numFmt w:val="lowerRoman"/>
      <w:lvlText w:val="%3"/>
      <w:lvlJc w:val="left"/>
      <w:pPr>
        <w:ind w:left="13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3" w:tplc="0890EB4A">
      <w:start w:val="1"/>
      <w:numFmt w:val="decimal"/>
      <w:lvlText w:val="%4"/>
      <w:lvlJc w:val="left"/>
      <w:pPr>
        <w:ind w:left="20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4" w:tplc="3C8AD5D4">
      <w:start w:val="1"/>
      <w:numFmt w:val="lowerLetter"/>
      <w:lvlText w:val="%5"/>
      <w:lvlJc w:val="left"/>
      <w:pPr>
        <w:ind w:left="28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5" w:tplc="B6568B42">
      <w:start w:val="1"/>
      <w:numFmt w:val="lowerRoman"/>
      <w:lvlText w:val="%6"/>
      <w:lvlJc w:val="left"/>
      <w:pPr>
        <w:ind w:left="35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6" w:tplc="C3CAB152">
      <w:start w:val="1"/>
      <w:numFmt w:val="decimal"/>
      <w:lvlText w:val="%7"/>
      <w:lvlJc w:val="left"/>
      <w:pPr>
        <w:ind w:left="42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7" w:tplc="46B64B48">
      <w:start w:val="1"/>
      <w:numFmt w:val="lowerLetter"/>
      <w:lvlText w:val="%8"/>
      <w:lvlJc w:val="left"/>
      <w:pPr>
        <w:ind w:left="49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8" w:tplc="812E6074">
      <w:start w:val="1"/>
      <w:numFmt w:val="lowerRoman"/>
      <w:lvlText w:val="%9"/>
      <w:lvlJc w:val="left"/>
      <w:pPr>
        <w:ind w:left="56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abstractNum>
  <w:abstractNum w:abstractNumId="16" w15:restartNumberingAfterBreak="0">
    <w:nsid w:val="2C655A26"/>
    <w:multiLevelType w:val="multilevel"/>
    <w:tmpl w:val="48DA34AA"/>
    <w:lvl w:ilvl="0">
      <w:start w:val="5"/>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9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D014A73"/>
    <w:multiLevelType w:val="hybridMultilevel"/>
    <w:tmpl w:val="C86C87D0"/>
    <w:lvl w:ilvl="0" w:tplc="BF68A78C">
      <w:start w:val="34"/>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0ACB6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9EE5E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509AD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7069A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188C4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4493A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923EB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28E32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1BF237D"/>
    <w:multiLevelType w:val="hybridMultilevel"/>
    <w:tmpl w:val="41B65BCC"/>
    <w:lvl w:ilvl="0" w:tplc="0ADE57B8">
      <w:start w:val="1"/>
      <w:numFmt w:val="decimal"/>
      <w:lvlText w:val="%1."/>
      <w:lvlJc w:val="left"/>
      <w:pPr>
        <w:ind w:left="1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783EFC">
      <w:start w:val="1"/>
      <w:numFmt w:val="lowerLetter"/>
      <w:lvlText w:val="%2"/>
      <w:lvlJc w:val="left"/>
      <w:pPr>
        <w:ind w:left="12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C4FA42">
      <w:start w:val="1"/>
      <w:numFmt w:val="lowerRoman"/>
      <w:lvlText w:val="%3"/>
      <w:lvlJc w:val="left"/>
      <w:pPr>
        <w:ind w:left="19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E04AEC">
      <w:start w:val="1"/>
      <w:numFmt w:val="decimal"/>
      <w:lvlText w:val="%4"/>
      <w:lvlJc w:val="left"/>
      <w:pPr>
        <w:ind w:left="26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709A78">
      <w:start w:val="1"/>
      <w:numFmt w:val="lowerLetter"/>
      <w:lvlText w:val="%5"/>
      <w:lvlJc w:val="left"/>
      <w:pPr>
        <w:ind w:left="33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CCB42">
      <w:start w:val="1"/>
      <w:numFmt w:val="lowerRoman"/>
      <w:lvlText w:val="%6"/>
      <w:lvlJc w:val="left"/>
      <w:pPr>
        <w:ind w:left="41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A0B412">
      <w:start w:val="1"/>
      <w:numFmt w:val="decimal"/>
      <w:lvlText w:val="%7"/>
      <w:lvlJc w:val="left"/>
      <w:pPr>
        <w:ind w:left="48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DAAE64">
      <w:start w:val="1"/>
      <w:numFmt w:val="lowerLetter"/>
      <w:lvlText w:val="%8"/>
      <w:lvlJc w:val="left"/>
      <w:pPr>
        <w:ind w:left="5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D071E2">
      <w:start w:val="1"/>
      <w:numFmt w:val="lowerRoman"/>
      <w:lvlText w:val="%9"/>
      <w:lvlJc w:val="left"/>
      <w:pPr>
        <w:ind w:left="62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3672973"/>
    <w:multiLevelType w:val="hybridMultilevel"/>
    <w:tmpl w:val="A1B65B88"/>
    <w:lvl w:ilvl="0" w:tplc="CC5C6EDA">
      <w:start w:val="82"/>
      <w:numFmt w:val="decimal"/>
      <w:lvlText w:val="%1."/>
      <w:lvlJc w:val="left"/>
      <w:pPr>
        <w:ind w:left="1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BE762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A4975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E05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A6331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5A0C6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EA02B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82457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188DB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40D22E8"/>
    <w:multiLevelType w:val="hybridMultilevel"/>
    <w:tmpl w:val="8A6E04B6"/>
    <w:lvl w:ilvl="0" w:tplc="0686892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B2A572">
      <w:start w:val="1"/>
      <w:numFmt w:val="upperLetter"/>
      <w:lvlText w:val="(%2)"/>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8C5648">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90A81C">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4F24BD6">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A00A2">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1527F50">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1CC230">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1EAA24">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9C4669F"/>
    <w:multiLevelType w:val="hybridMultilevel"/>
    <w:tmpl w:val="4462F3B8"/>
    <w:lvl w:ilvl="0" w:tplc="8F925C84">
      <w:start w:val="49"/>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86A5AC">
      <w:start w:val="1"/>
      <w:numFmt w:val="bullet"/>
      <w:lvlText w:val="-"/>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C02FF4">
      <w:start w:val="1"/>
      <w:numFmt w:val="bullet"/>
      <w:lvlText w:val="▪"/>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189D2E">
      <w:start w:val="1"/>
      <w:numFmt w:val="bullet"/>
      <w:lvlText w:val="•"/>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C81778">
      <w:start w:val="1"/>
      <w:numFmt w:val="bullet"/>
      <w:lvlText w:val="o"/>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08482B6">
      <w:start w:val="1"/>
      <w:numFmt w:val="bullet"/>
      <w:lvlText w:val="▪"/>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6610E6">
      <w:start w:val="1"/>
      <w:numFmt w:val="bullet"/>
      <w:lvlText w:val="•"/>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C1CC0">
      <w:start w:val="1"/>
      <w:numFmt w:val="bullet"/>
      <w:lvlText w:val="o"/>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CC28CE">
      <w:start w:val="1"/>
      <w:numFmt w:val="bullet"/>
      <w:lvlText w:val="▪"/>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9CC0028"/>
    <w:multiLevelType w:val="hybridMultilevel"/>
    <w:tmpl w:val="6944F392"/>
    <w:lvl w:ilvl="0" w:tplc="E53A91CA">
      <w:start w:val="90"/>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201A7E">
      <w:start w:val="1"/>
      <w:numFmt w:val="bullet"/>
      <w:lvlText w:val="-"/>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AE80C0">
      <w:start w:val="1"/>
      <w:numFmt w:val="bullet"/>
      <w:lvlText w:val="▪"/>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D8D89A">
      <w:start w:val="1"/>
      <w:numFmt w:val="bullet"/>
      <w:lvlText w:val="•"/>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B61E6C">
      <w:start w:val="1"/>
      <w:numFmt w:val="bullet"/>
      <w:lvlText w:val="o"/>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6E17E6">
      <w:start w:val="1"/>
      <w:numFmt w:val="bullet"/>
      <w:lvlText w:val="▪"/>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265FC4">
      <w:start w:val="1"/>
      <w:numFmt w:val="bullet"/>
      <w:lvlText w:val="•"/>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FCB8F6">
      <w:start w:val="1"/>
      <w:numFmt w:val="bullet"/>
      <w:lvlText w:val="o"/>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A870C2">
      <w:start w:val="1"/>
      <w:numFmt w:val="bullet"/>
      <w:lvlText w:val="▪"/>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202567"/>
    <w:multiLevelType w:val="hybridMultilevel"/>
    <w:tmpl w:val="3A5656E4"/>
    <w:lvl w:ilvl="0" w:tplc="E976F28C">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2E4386">
      <w:start w:val="1"/>
      <w:numFmt w:val="bullet"/>
      <w:lvlRestart w:val="0"/>
      <w:lvlText w:val="-"/>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0613AA">
      <w:start w:val="1"/>
      <w:numFmt w:val="bullet"/>
      <w:lvlText w:val="▪"/>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96320A">
      <w:start w:val="1"/>
      <w:numFmt w:val="bullet"/>
      <w:lvlText w:val="•"/>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EE117E">
      <w:start w:val="1"/>
      <w:numFmt w:val="bullet"/>
      <w:lvlText w:val="o"/>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20CB36">
      <w:start w:val="1"/>
      <w:numFmt w:val="bullet"/>
      <w:lvlText w:val="▪"/>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1045B82">
      <w:start w:val="1"/>
      <w:numFmt w:val="bullet"/>
      <w:lvlText w:val="•"/>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8EA914">
      <w:start w:val="1"/>
      <w:numFmt w:val="bullet"/>
      <w:lvlText w:val="o"/>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D56B998">
      <w:start w:val="1"/>
      <w:numFmt w:val="bullet"/>
      <w:lvlText w:val="▪"/>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EEC3369"/>
    <w:multiLevelType w:val="hybridMultilevel"/>
    <w:tmpl w:val="0FA2FA06"/>
    <w:lvl w:ilvl="0" w:tplc="63BEEC20">
      <w:start w:val="143"/>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166C56">
      <w:start w:val="1"/>
      <w:numFmt w:val="bullet"/>
      <w:lvlText w:val="-"/>
      <w:lvlJc w:val="left"/>
      <w:pPr>
        <w:ind w:left="1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769F96">
      <w:start w:val="1"/>
      <w:numFmt w:val="bullet"/>
      <w:lvlText w:val="▪"/>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B69012">
      <w:start w:val="1"/>
      <w:numFmt w:val="bullet"/>
      <w:lvlText w:val="•"/>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C6985C">
      <w:start w:val="1"/>
      <w:numFmt w:val="bullet"/>
      <w:lvlText w:val="o"/>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C6E950">
      <w:start w:val="1"/>
      <w:numFmt w:val="bullet"/>
      <w:lvlText w:val="▪"/>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E2321A">
      <w:start w:val="1"/>
      <w:numFmt w:val="bullet"/>
      <w:lvlText w:val="•"/>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068D262">
      <w:start w:val="1"/>
      <w:numFmt w:val="bullet"/>
      <w:lvlText w:val="o"/>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027A9A">
      <w:start w:val="1"/>
      <w:numFmt w:val="bullet"/>
      <w:lvlText w:val="▪"/>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F8502AE"/>
    <w:multiLevelType w:val="hybridMultilevel"/>
    <w:tmpl w:val="EA36D7DC"/>
    <w:lvl w:ilvl="0" w:tplc="A734E6AC">
      <w:start w:val="80"/>
      <w:numFmt w:val="decimal"/>
      <w:lvlText w:val="%1."/>
      <w:lvlJc w:val="left"/>
      <w:pPr>
        <w:ind w:left="1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7ABCC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980D1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558FE3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AA5AC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F062C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4F1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A01C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70FBE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79E4557"/>
    <w:multiLevelType w:val="multilevel"/>
    <w:tmpl w:val="A8BA5C82"/>
    <w:lvl w:ilvl="0">
      <w:start w:val="3"/>
      <w:numFmt w:val="upperRoman"/>
      <w:lvlText w:val="%1."/>
      <w:lvlJc w:val="left"/>
      <w:pPr>
        <w:ind w:left="1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2"/>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9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89007D2"/>
    <w:multiLevelType w:val="hybridMultilevel"/>
    <w:tmpl w:val="6582A76C"/>
    <w:lvl w:ilvl="0" w:tplc="83F0325A">
      <w:start w:val="1"/>
      <w:numFmt w:val="bullet"/>
      <w:lvlText w:val="-"/>
      <w:lvlJc w:val="left"/>
      <w:pPr>
        <w:ind w:left="1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CC058E">
      <w:start w:val="1"/>
      <w:numFmt w:val="bullet"/>
      <w:lvlText w:val="o"/>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5AAEB2">
      <w:start w:val="1"/>
      <w:numFmt w:val="bullet"/>
      <w:lvlText w:val="▪"/>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8DE1BCC">
      <w:start w:val="1"/>
      <w:numFmt w:val="bullet"/>
      <w:lvlText w:val="•"/>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8D2EEAA">
      <w:start w:val="1"/>
      <w:numFmt w:val="bullet"/>
      <w:lvlText w:val="o"/>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200120">
      <w:start w:val="1"/>
      <w:numFmt w:val="bullet"/>
      <w:lvlText w:val="▪"/>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BE64050">
      <w:start w:val="1"/>
      <w:numFmt w:val="bullet"/>
      <w:lvlText w:val="•"/>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C0C6B8">
      <w:start w:val="1"/>
      <w:numFmt w:val="bullet"/>
      <w:lvlText w:val="o"/>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D63982">
      <w:start w:val="1"/>
      <w:numFmt w:val="bullet"/>
      <w:lvlText w:val="▪"/>
      <w:lvlJc w:val="left"/>
      <w:pPr>
        <w:ind w:left="6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9946650"/>
    <w:multiLevelType w:val="hybridMultilevel"/>
    <w:tmpl w:val="BB042A42"/>
    <w:lvl w:ilvl="0" w:tplc="808CFB72">
      <w:start w:val="1"/>
      <w:numFmt w:val="bullet"/>
      <w:lvlText w:val="-"/>
      <w:lvlJc w:val="left"/>
      <w:pPr>
        <w:ind w:left="1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50FFC6">
      <w:start w:val="1"/>
      <w:numFmt w:val="bullet"/>
      <w:lvlText w:val="o"/>
      <w:lvlJc w:val="left"/>
      <w:pPr>
        <w:ind w:left="2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A0667C">
      <w:start w:val="1"/>
      <w:numFmt w:val="bullet"/>
      <w:lvlText w:val="▪"/>
      <w:lvlJc w:val="left"/>
      <w:pPr>
        <w:ind w:left="2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7A4ABC">
      <w:start w:val="1"/>
      <w:numFmt w:val="bullet"/>
      <w:lvlText w:val="•"/>
      <w:lvlJc w:val="left"/>
      <w:pPr>
        <w:ind w:left="3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0244540">
      <w:start w:val="1"/>
      <w:numFmt w:val="bullet"/>
      <w:lvlText w:val="o"/>
      <w:lvlJc w:val="left"/>
      <w:pPr>
        <w:ind w:left="4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BA252E">
      <w:start w:val="1"/>
      <w:numFmt w:val="bullet"/>
      <w:lvlText w:val="▪"/>
      <w:lvlJc w:val="left"/>
      <w:pPr>
        <w:ind w:left="4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F46168">
      <w:start w:val="1"/>
      <w:numFmt w:val="bullet"/>
      <w:lvlText w:val="•"/>
      <w:lvlJc w:val="left"/>
      <w:pPr>
        <w:ind w:left="5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316">
      <w:start w:val="1"/>
      <w:numFmt w:val="bullet"/>
      <w:lvlText w:val="o"/>
      <w:lvlJc w:val="left"/>
      <w:pPr>
        <w:ind w:left="6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B23F48">
      <w:start w:val="1"/>
      <w:numFmt w:val="bullet"/>
      <w:lvlText w:val="▪"/>
      <w:lvlJc w:val="left"/>
      <w:pPr>
        <w:ind w:left="7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EF6695A"/>
    <w:multiLevelType w:val="hybridMultilevel"/>
    <w:tmpl w:val="03F091D2"/>
    <w:lvl w:ilvl="0" w:tplc="C54EE6E0">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BAFAE2">
      <w:start w:val="1"/>
      <w:numFmt w:val="bullet"/>
      <w:lvlText w:val="o"/>
      <w:lvlJc w:val="left"/>
      <w:pPr>
        <w:ind w:left="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5ECF7C">
      <w:start w:val="1"/>
      <w:numFmt w:val="bullet"/>
      <w:lvlText w:val="▪"/>
      <w:lvlJc w:val="left"/>
      <w:pPr>
        <w:ind w:left="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142EAE">
      <w:start w:val="1"/>
      <w:numFmt w:val="bullet"/>
      <w:lvlRestart w:val="0"/>
      <w:lvlText w:val="-"/>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3ACA96">
      <w:start w:val="1"/>
      <w:numFmt w:val="bullet"/>
      <w:lvlText w:val="o"/>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E67780">
      <w:start w:val="1"/>
      <w:numFmt w:val="bullet"/>
      <w:lvlText w:val="▪"/>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764395E">
      <w:start w:val="1"/>
      <w:numFmt w:val="bullet"/>
      <w:lvlText w:val="•"/>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FA9884">
      <w:start w:val="1"/>
      <w:numFmt w:val="bullet"/>
      <w:lvlText w:val="o"/>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BC4218">
      <w:start w:val="1"/>
      <w:numFmt w:val="bullet"/>
      <w:lvlText w:val="▪"/>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FF94DD4"/>
    <w:multiLevelType w:val="hybridMultilevel"/>
    <w:tmpl w:val="28C4729A"/>
    <w:lvl w:ilvl="0" w:tplc="D6F620E8">
      <w:start w:val="30"/>
      <w:numFmt w:val="decimal"/>
      <w:lvlText w:val="%1."/>
      <w:lvlJc w:val="left"/>
      <w:pPr>
        <w:ind w:left="1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FA7C4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106BD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D632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EE178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EA78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3C47D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27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6740F5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1520F72"/>
    <w:multiLevelType w:val="hybridMultilevel"/>
    <w:tmpl w:val="91E0B7F6"/>
    <w:lvl w:ilvl="0" w:tplc="F7B0C210">
      <w:start w:val="21"/>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CF3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E4679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D8073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24395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E8D58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8B68D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1586B2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10A98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3330789"/>
    <w:multiLevelType w:val="hybridMultilevel"/>
    <w:tmpl w:val="6D0CFB40"/>
    <w:lvl w:ilvl="0" w:tplc="879E3F28">
      <w:start w:val="129"/>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76C26D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E66B1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3AB3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022F8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32A7D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84A9D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10E5C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E81BA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4383154"/>
    <w:multiLevelType w:val="hybridMultilevel"/>
    <w:tmpl w:val="4662A8F0"/>
    <w:lvl w:ilvl="0" w:tplc="830609FC">
      <w:start w:val="140"/>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0C49EA">
      <w:start w:val="1"/>
      <w:numFmt w:val="bullet"/>
      <w:lvlText w:val="-"/>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3AB5D2">
      <w:start w:val="1"/>
      <w:numFmt w:val="bullet"/>
      <w:lvlText w:val="▪"/>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C50F62A">
      <w:start w:val="1"/>
      <w:numFmt w:val="bullet"/>
      <w:lvlText w:val="•"/>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5E513E">
      <w:start w:val="1"/>
      <w:numFmt w:val="bullet"/>
      <w:lvlText w:val="o"/>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8A0D5E">
      <w:start w:val="1"/>
      <w:numFmt w:val="bullet"/>
      <w:lvlText w:val="▪"/>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3A42BC">
      <w:start w:val="1"/>
      <w:numFmt w:val="bullet"/>
      <w:lvlText w:val="•"/>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A6005E">
      <w:start w:val="1"/>
      <w:numFmt w:val="bullet"/>
      <w:lvlText w:val="o"/>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4A108E">
      <w:start w:val="1"/>
      <w:numFmt w:val="bullet"/>
      <w:lvlText w:val="▪"/>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56B231F"/>
    <w:multiLevelType w:val="hybridMultilevel"/>
    <w:tmpl w:val="08363EBA"/>
    <w:lvl w:ilvl="0" w:tplc="F3EE787A">
      <w:start w:val="55"/>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DE4F58">
      <w:start w:val="1"/>
      <w:numFmt w:val="bullet"/>
      <w:lvlText w:val="-"/>
      <w:lvlJc w:val="left"/>
      <w:pPr>
        <w:ind w:left="1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BC66DE">
      <w:start w:val="1"/>
      <w:numFmt w:val="bullet"/>
      <w:lvlText w:val="▪"/>
      <w:lvlJc w:val="left"/>
      <w:pPr>
        <w:ind w:left="2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74279C">
      <w:start w:val="1"/>
      <w:numFmt w:val="bullet"/>
      <w:lvlText w:val="•"/>
      <w:lvlJc w:val="left"/>
      <w:pPr>
        <w:ind w:left="2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B662EC0">
      <w:start w:val="1"/>
      <w:numFmt w:val="bullet"/>
      <w:lvlText w:val="o"/>
      <w:lvlJc w:val="left"/>
      <w:pPr>
        <w:ind w:left="3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94CA7E">
      <w:start w:val="1"/>
      <w:numFmt w:val="bullet"/>
      <w:lvlText w:val="▪"/>
      <w:lvlJc w:val="left"/>
      <w:pPr>
        <w:ind w:left="4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BEA274">
      <w:start w:val="1"/>
      <w:numFmt w:val="bullet"/>
      <w:lvlText w:val="•"/>
      <w:lvlJc w:val="left"/>
      <w:pPr>
        <w:ind w:left="48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C070AC">
      <w:start w:val="1"/>
      <w:numFmt w:val="bullet"/>
      <w:lvlText w:val="o"/>
      <w:lvlJc w:val="left"/>
      <w:pPr>
        <w:ind w:left="5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26FC42">
      <w:start w:val="1"/>
      <w:numFmt w:val="bullet"/>
      <w:lvlText w:val="▪"/>
      <w:lvlJc w:val="left"/>
      <w:pPr>
        <w:ind w:left="6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7116A8F"/>
    <w:multiLevelType w:val="hybridMultilevel"/>
    <w:tmpl w:val="A2260984"/>
    <w:lvl w:ilvl="0" w:tplc="85F20552">
      <w:start w:val="11"/>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549FE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DCE8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30403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CE2C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B2256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12AF73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487BE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2EBDF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74962E0"/>
    <w:multiLevelType w:val="hybridMultilevel"/>
    <w:tmpl w:val="DA381F6E"/>
    <w:lvl w:ilvl="0" w:tplc="18B2A758">
      <w:start w:val="5"/>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CA3F74">
      <w:start w:val="1"/>
      <w:numFmt w:val="lowerLetter"/>
      <w:lvlText w:val="%2"/>
      <w:lvlJc w:val="left"/>
      <w:pPr>
        <w:ind w:left="13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30933A">
      <w:start w:val="1"/>
      <w:numFmt w:val="lowerRoman"/>
      <w:lvlText w:val="%3"/>
      <w:lvlJc w:val="left"/>
      <w:pPr>
        <w:ind w:left="20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5A4BF0">
      <w:start w:val="1"/>
      <w:numFmt w:val="decimal"/>
      <w:lvlText w:val="%4"/>
      <w:lvlJc w:val="left"/>
      <w:pPr>
        <w:ind w:left="27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344C26">
      <w:start w:val="1"/>
      <w:numFmt w:val="lowerLetter"/>
      <w:lvlText w:val="%5"/>
      <w:lvlJc w:val="left"/>
      <w:pPr>
        <w:ind w:left="34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74CFAA">
      <w:start w:val="1"/>
      <w:numFmt w:val="lowerRoman"/>
      <w:lvlText w:val="%6"/>
      <w:lvlJc w:val="left"/>
      <w:pPr>
        <w:ind w:left="41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B66ECC">
      <w:start w:val="1"/>
      <w:numFmt w:val="decimal"/>
      <w:lvlText w:val="%7"/>
      <w:lvlJc w:val="left"/>
      <w:pPr>
        <w:ind w:left="49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A6B2B0">
      <w:start w:val="1"/>
      <w:numFmt w:val="lowerLetter"/>
      <w:lvlText w:val="%8"/>
      <w:lvlJc w:val="left"/>
      <w:pPr>
        <w:ind w:left="56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F217F0">
      <w:start w:val="1"/>
      <w:numFmt w:val="lowerRoman"/>
      <w:lvlText w:val="%9"/>
      <w:lvlJc w:val="left"/>
      <w:pPr>
        <w:ind w:left="63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96703AE"/>
    <w:multiLevelType w:val="hybridMultilevel"/>
    <w:tmpl w:val="C2FAAC80"/>
    <w:lvl w:ilvl="0" w:tplc="325C6940">
      <w:start w:val="88"/>
      <w:numFmt w:val="decimal"/>
      <w:lvlText w:val="%1."/>
      <w:lvlJc w:val="left"/>
      <w:pPr>
        <w:ind w:left="1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7E03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06E2E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F84BE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A64B5B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14B53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0033F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BAC0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0888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A7626BE"/>
    <w:multiLevelType w:val="hybridMultilevel"/>
    <w:tmpl w:val="07221478"/>
    <w:lvl w:ilvl="0" w:tplc="C0981DEE">
      <w:start w:val="7"/>
      <w:numFmt w:val="upperRoman"/>
      <w:lvlText w:val="%1."/>
      <w:lvlJc w:val="left"/>
      <w:pPr>
        <w:ind w:left="1067"/>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BE2011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C5A9102">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5DCBE3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FC029C38">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B06B9AC">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B5D8ABEA">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CB0D7F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34E72D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5AB466A9"/>
    <w:multiLevelType w:val="hybridMultilevel"/>
    <w:tmpl w:val="769846C6"/>
    <w:lvl w:ilvl="0" w:tplc="8444CBD0">
      <w:start w:val="120"/>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8CA2794">
      <w:start w:val="1"/>
      <w:numFmt w:val="bullet"/>
      <w:lvlText w:val="-"/>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804436">
      <w:start w:val="1"/>
      <w:numFmt w:val="bullet"/>
      <w:lvlText w:val="▪"/>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92DD6C">
      <w:start w:val="1"/>
      <w:numFmt w:val="bullet"/>
      <w:lvlText w:val="•"/>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8E6DBC">
      <w:start w:val="1"/>
      <w:numFmt w:val="bullet"/>
      <w:lvlText w:val="o"/>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1E74C0">
      <w:start w:val="1"/>
      <w:numFmt w:val="bullet"/>
      <w:lvlText w:val="▪"/>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8A22F40">
      <w:start w:val="1"/>
      <w:numFmt w:val="bullet"/>
      <w:lvlText w:val="•"/>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FC0BBE">
      <w:start w:val="1"/>
      <w:numFmt w:val="bullet"/>
      <w:lvlText w:val="o"/>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729004">
      <w:start w:val="1"/>
      <w:numFmt w:val="bullet"/>
      <w:lvlText w:val="▪"/>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CB568C7"/>
    <w:multiLevelType w:val="hybridMultilevel"/>
    <w:tmpl w:val="EA601064"/>
    <w:lvl w:ilvl="0" w:tplc="2CF05354">
      <w:start w:val="155"/>
      <w:numFmt w:val="decimal"/>
      <w:lvlText w:val="%1."/>
      <w:lvlJc w:val="left"/>
      <w:pPr>
        <w:ind w:left="1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0434F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9A012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1BE72B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16208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5E09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E0392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C4572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D8235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DD162BA"/>
    <w:multiLevelType w:val="hybridMultilevel"/>
    <w:tmpl w:val="7DA212FE"/>
    <w:lvl w:ilvl="0" w:tplc="EEEC64F2">
      <w:start w:val="26"/>
      <w:numFmt w:val="decimal"/>
      <w:lvlText w:val="%1."/>
      <w:lvlJc w:val="left"/>
      <w:pPr>
        <w:ind w:left="1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8A56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34AA9B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B3C9D5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E4045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22A8D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52690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A36CC1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6E4C57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E484D25"/>
    <w:multiLevelType w:val="hybridMultilevel"/>
    <w:tmpl w:val="7CC63E58"/>
    <w:lvl w:ilvl="0" w:tplc="1EA4DF1C">
      <w:start w:val="41"/>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02A46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6EB8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108C8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E64B7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148EF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5A672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306B5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802B0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E8E2763"/>
    <w:multiLevelType w:val="hybridMultilevel"/>
    <w:tmpl w:val="62921A4C"/>
    <w:lvl w:ilvl="0" w:tplc="38081E82">
      <w:start w:val="152"/>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E0747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EEBE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C8A69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A2652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783F2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1E7FE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2463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D2270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000187C"/>
    <w:multiLevelType w:val="hybridMultilevel"/>
    <w:tmpl w:val="EE9EAA56"/>
    <w:lvl w:ilvl="0" w:tplc="1FE612FA">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3E070A">
      <w:start w:val="1"/>
      <w:numFmt w:val="bullet"/>
      <w:lvlText w:val="o"/>
      <w:lvlJc w:val="left"/>
      <w:pPr>
        <w:ind w:left="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56B954">
      <w:start w:val="1"/>
      <w:numFmt w:val="bullet"/>
      <w:lvlRestart w:val="0"/>
      <w:lvlText w:val="-"/>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A85270">
      <w:start w:val="1"/>
      <w:numFmt w:val="bullet"/>
      <w:lvlText w:val="•"/>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30ACAC">
      <w:start w:val="1"/>
      <w:numFmt w:val="bullet"/>
      <w:lvlText w:val="o"/>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1C39CA">
      <w:start w:val="1"/>
      <w:numFmt w:val="bullet"/>
      <w:lvlText w:val="▪"/>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90EC08">
      <w:start w:val="1"/>
      <w:numFmt w:val="bullet"/>
      <w:lvlText w:val="•"/>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6A37EC">
      <w:start w:val="1"/>
      <w:numFmt w:val="bullet"/>
      <w:lvlText w:val="o"/>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263E00">
      <w:start w:val="1"/>
      <w:numFmt w:val="bullet"/>
      <w:lvlText w:val="▪"/>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0D87B52"/>
    <w:multiLevelType w:val="hybridMultilevel"/>
    <w:tmpl w:val="B27A67F2"/>
    <w:lvl w:ilvl="0" w:tplc="16FC17EE">
      <w:start w:val="160"/>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C69A3E">
      <w:start w:val="1"/>
      <w:numFmt w:val="lowerLetter"/>
      <w:lvlText w:val="%2"/>
      <w:lvlJc w:val="left"/>
      <w:pPr>
        <w:ind w:left="13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32DF6E">
      <w:start w:val="1"/>
      <w:numFmt w:val="lowerRoman"/>
      <w:lvlText w:val="%3"/>
      <w:lvlJc w:val="left"/>
      <w:pPr>
        <w:ind w:left="2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78A01A">
      <w:start w:val="1"/>
      <w:numFmt w:val="decimal"/>
      <w:lvlText w:val="%4"/>
      <w:lvlJc w:val="left"/>
      <w:pPr>
        <w:ind w:left="28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E8DDF2">
      <w:start w:val="1"/>
      <w:numFmt w:val="lowerLetter"/>
      <w:lvlText w:val="%5"/>
      <w:lvlJc w:val="left"/>
      <w:pPr>
        <w:ind w:left="35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1ABBF8">
      <w:start w:val="1"/>
      <w:numFmt w:val="lowerRoman"/>
      <w:lvlText w:val="%6"/>
      <w:lvlJc w:val="left"/>
      <w:pPr>
        <w:ind w:left="42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AAC734">
      <w:start w:val="1"/>
      <w:numFmt w:val="decimal"/>
      <w:lvlText w:val="%7"/>
      <w:lvlJc w:val="left"/>
      <w:pPr>
        <w:ind w:left="49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8E63C2">
      <w:start w:val="1"/>
      <w:numFmt w:val="lowerLetter"/>
      <w:lvlText w:val="%8"/>
      <w:lvlJc w:val="left"/>
      <w:pPr>
        <w:ind w:left="5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EC8D64">
      <w:start w:val="1"/>
      <w:numFmt w:val="lowerRoman"/>
      <w:lvlText w:val="%9"/>
      <w:lvlJc w:val="left"/>
      <w:pPr>
        <w:ind w:left="6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4194F15"/>
    <w:multiLevelType w:val="hybridMultilevel"/>
    <w:tmpl w:val="3FD415E8"/>
    <w:lvl w:ilvl="0" w:tplc="A9B65AA6">
      <w:start w:val="106"/>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1226B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9A5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FA683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C8AB3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4CB9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EE8E0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C4723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82CB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6C31899"/>
    <w:multiLevelType w:val="hybridMultilevel"/>
    <w:tmpl w:val="B9D821D8"/>
    <w:lvl w:ilvl="0" w:tplc="B58C3792">
      <w:start w:val="45"/>
      <w:numFmt w:val="decimal"/>
      <w:lvlText w:val="%1."/>
      <w:lvlJc w:val="left"/>
      <w:pPr>
        <w:ind w:left="1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A4C6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9061F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6CA5C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56B49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42FB3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EA44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304C2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32696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CD738F2"/>
    <w:multiLevelType w:val="hybridMultilevel"/>
    <w:tmpl w:val="AF525B54"/>
    <w:lvl w:ilvl="0" w:tplc="FA7E3F64">
      <w:start w:val="136"/>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E0FA60">
      <w:start w:val="1"/>
      <w:numFmt w:val="bullet"/>
      <w:lvlText w:val="-"/>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6AA55A">
      <w:start w:val="1"/>
      <w:numFmt w:val="bullet"/>
      <w:lvlText w:val="▪"/>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603062">
      <w:start w:val="1"/>
      <w:numFmt w:val="bullet"/>
      <w:lvlText w:val="•"/>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502D90">
      <w:start w:val="1"/>
      <w:numFmt w:val="bullet"/>
      <w:lvlText w:val="o"/>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60C7FA">
      <w:start w:val="1"/>
      <w:numFmt w:val="bullet"/>
      <w:lvlText w:val="▪"/>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6442C2">
      <w:start w:val="1"/>
      <w:numFmt w:val="bullet"/>
      <w:lvlText w:val="•"/>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5A5382">
      <w:start w:val="1"/>
      <w:numFmt w:val="bullet"/>
      <w:lvlText w:val="o"/>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CDE9B06">
      <w:start w:val="1"/>
      <w:numFmt w:val="bullet"/>
      <w:lvlText w:val="▪"/>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E976D23"/>
    <w:multiLevelType w:val="hybridMultilevel"/>
    <w:tmpl w:val="61B4AA14"/>
    <w:lvl w:ilvl="0" w:tplc="44B43808">
      <w:start w:val="47"/>
      <w:numFmt w:val="decimal"/>
      <w:lvlText w:val="%1."/>
      <w:lvlJc w:val="left"/>
      <w:pPr>
        <w:ind w:left="1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88836C">
      <w:start w:val="1"/>
      <w:numFmt w:val="bullet"/>
      <w:lvlText w:val="-"/>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F00CC8">
      <w:start w:val="1"/>
      <w:numFmt w:val="bullet"/>
      <w:lvlText w:val="▪"/>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D08CE8">
      <w:start w:val="1"/>
      <w:numFmt w:val="bullet"/>
      <w:lvlText w:val="•"/>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2C8BEC">
      <w:start w:val="1"/>
      <w:numFmt w:val="bullet"/>
      <w:lvlText w:val="o"/>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DC74DC">
      <w:start w:val="1"/>
      <w:numFmt w:val="bullet"/>
      <w:lvlText w:val="▪"/>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54F562">
      <w:start w:val="1"/>
      <w:numFmt w:val="bullet"/>
      <w:lvlText w:val="•"/>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643CCA">
      <w:start w:val="1"/>
      <w:numFmt w:val="bullet"/>
      <w:lvlText w:val="o"/>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F87010">
      <w:start w:val="1"/>
      <w:numFmt w:val="bullet"/>
      <w:lvlText w:val="▪"/>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EAF0580"/>
    <w:multiLevelType w:val="hybridMultilevel"/>
    <w:tmpl w:val="7CA65FF2"/>
    <w:lvl w:ilvl="0" w:tplc="4E96658C">
      <w:start w:val="2"/>
      <w:numFmt w:val="decimal"/>
      <w:lvlText w:val="%1."/>
      <w:lvlJc w:val="left"/>
      <w:pPr>
        <w:ind w:left="20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BC6738">
      <w:start w:val="1"/>
      <w:numFmt w:val="lowerLetter"/>
      <w:lvlText w:val="%2"/>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9C479EE">
      <w:start w:val="1"/>
      <w:numFmt w:val="lowerRoman"/>
      <w:lvlText w:val="%3"/>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FA2801A">
      <w:start w:val="1"/>
      <w:numFmt w:val="decimal"/>
      <w:lvlText w:val="%4"/>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D4F110">
      <w:start w:val="1"/>
      <w:numFmt w:val="lowerLetter"/>
      <w:lvlText w:val="%5"/>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644284">
      <w:start w:val="1"/>
      <w:numFmt w:val="lowerRoman"/>
      <w:lvlText w:val="%6"/>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8A6008C">
      <w:start w:val="1"/>
      <w:numFmt w:val="decimal"/>
      <w:lvlText w:val="%7"/>
      <w:lvlJc w:val="left"/>
      <w:pPr>
        <w:ind w:left="6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10D0AA">
      <w:start w:val="1"/>
      <w:numFmt w:val="lowerLetter"/>
      <w:lvlText w:val="%8"/>
      <w:lvlJc w:val="left"/>
      <w:pPr>
        <w:ind w:left="6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045E7C">
      <w:start w:val="1"/>
      <w:numFmt w:val="lowerRoman"/>
      <w:lvlText w:val="%9"/>
      <w:lvlJc w:val="left"/>
      <w:pPr>
        <w:ind w:left="7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2FB6A16"/>
    <w:multiLevelType w:val="hybridMultilevel"/>
    <w:tmpl w:val="187C9240"/>
    <w:lvl w:ilvl="0" w:tplc="3D542340">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E2B85E">
      <w:start w:val="1"/>
      <w:numFmt w:val="bullet"/>
      <w:lvlText w:val="o"/>
      <w:lvlJc w:val="left"/>
      <w:pPr>
        <w:ind w:left="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F2E6AE">
      <w:start w:val="1"/>
      <w:numFmt w:val="bullet"/>
      <w:lvlText w:val="▪"/>
      <w:lvlJc w:val="left"/>
      <w:pPr>
        <w:ind w:left="7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2184CC0">
      <w:start w:val="1"/>
      <w:numFmt w:val="bullet"/>
      <w:lvlText w:val="•"/>
      <w:lvlJc w:val="left"/>
      <w:pPr>
        <w:ind w:left="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42A164A">
      <w:start w:val="1"/>
      <w:numFmt w:val="bullet"/>
      <w:lvlRestart w:val="0"/>
      <w:lvlText w:val="-"/>
      <w:lvlJc w:val="left"/>
      <w:pPr>
        <w:ind w:left="1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98372E">
      <w:start w:val="1"/>
      <w:numFmt w:val="bullet"/>
      <w:lvlText w:val="▪"/>
      <w:lvlJc w:val="left"/>
      <w:pPr>
        <w:ind w:left="1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DEBBCC">
      <w:start w:val="1"/>
      <w:numFmt w:val="bullet"/>
      <w:lvlText w:val="•"/>
      <w:lvlJc w:val="left"/>
      <w:pPr>
        <w:ind w:left="2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9A2B3C">
      <w:start w:val="1"/>
      <w:numFmt w:val="bullet"/>
      <w:lvlText w:val="o"/>
      <w:lvlJc w:val="left"/>
      <w:pPr>
        <w:ind w:left="3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3223D14">
      <w:start w:val="1"/>
      <w:numFmt w:val="bullet"/>
      <w:lvlText w:val="▪"/>
      <w:lvlJc w:val="left"/>
      <w:pPr>
        <w:ind w:left="40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3AF4C6B"/>
    <w:multiLevelType w:val="hybridMultilevel"/>
    <w:tmpl w:val="B734FF30"/>
    <w:lvl w:ilvl="0" w:tplc="7E46D908">
      <w:start w:val="150"/>
      <w:numFmt w:val="decimal"/>
      <w:lvlText w:val="%1."/>
      <w:lvlJc w:val="left"/>
      <w:pPr>
        <w:ind w:left="1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76432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6E243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CCED7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60110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CA48A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AA002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A60E9A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5A24F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5A05EEF"/>
    <w:multiLevelType w:val="hybridMultilevel"/>
    <w:tmpl w:val="822A0FC8"/>
    <w:lvl w:ilvl="0" w:tplc="CCBCFE2C">
      <w:start w:val="9"/>
      <w:numFmt w:val="upperRoman"/>
      <w:lvlText w:val="%1."/>
      <w:lvlJc w:val="left"/>
      <w:pPr>
        <w:ind w:left="10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EA5400">
      <w:start w:val="1"/>
      <w:numFmt w:val="lowerLetter"/>
      <w:lvlText w:val="%2"/>
      <w:lvlJc w:val="left"/>
      <w:pPr>
        <w:ind w:left="1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24977A">
      <w:start w:val="1"/>
      <w:numFmt w:val="lowerRoman"/>
      <w:lvlText w:val="%3"/>
      <w:lvlJc w:val="left"/>
      <w:pPr>
        <w:ind w:left="2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3A562A">
      <w:start w:val="1"/>
      <w:numFmt w:val="decimal"/>
      <w:lvlText w:val="%4"/>
      <w:lvlJc w:val="left"/>
      <w:pPr>
        <w:ind w:left="2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9CF75E">
      <w:start w:val="1"/>
      <w:numFmt w:val="lowerLetter"/>
      <w:lvlText w:val="%5"/>
      <w:lvlJc w:val="left"/>
      <w:pPr>
        <w:ind w:left="3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C2CA9A">
      <w:start w:val="1"/>
      <w:numFmt w:val="lowerRoman"/>
      <w:lvlText w:val="%6"/>
      <w:lvlJc w:val="left"/>
      <w:pPr>
        <w:ind w:left="4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FCC384">
      <w:start w:val="1"/>
      <w:numFmt w:val="decimal"/>
      <w:lvlText w:val="%7"/>
      <w:lvlJc w:val="left"/>
      <w:pPr>
        <w:ind w:left="4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926008">
      <w:start w:val="1"/>
      <w:numFmt w:val="lowerLetter"/>
      <w:lvlText w:val="%8"/>
      <w:lvlJc w:val="left"/>
      <w:pPr>
        <w:ind w:left="5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92A8BA">
      <w:start w:val="1"/>
      <w:numFmt w:val="lowerRoman"/>
      <w:lvlText w:val="%9"/>
      <w:lvlJc w:val="left"/>
      <w:pPr>
        <w:ind w:left="6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D631540"/>
    <w:multiLevelType w:val="hybridMultilevel"/>
    <w:tmpl w:val="DC7286DA"/>
    <w:lvl w:ilvl="0" w:tplc="CA3E29F8">
      <w:start w:val="1"/>
      <w:numFmt w:val="decimal"/>
      <w:lvlText w:val="%1."/>
      <w:lvlJc w:val="left"/>
      <w:pPr>
        <w:ind w:left="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D475D4">
      <w:start w:val="1"/>
      <w:numFmt w:val="decimal"/>
      <w:lvlText w:val="%2."/>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4EC066">
      <w:start w:val="1"/>
      <w:numFmt w:val="lowerRoman"/>
      <w:lvlText w:val="%3"/>
      <w:lvlJc w:val="left"/>
      <w:pPr>
        <w:ind w:left="1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87A277C">
      <w:start w:val="1"/>
      <w:numFmt w:val="decimal"/>
      <w:lvlText w:val="%4"/>
      <w:lvlJc w:val="left"/>
      <w:pPr>
        <w:ind w:left="2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0D6CFE2">
      <w:start w:val="1"/>
      <w:numFmt w:val="lowerLetter"/>
      <w:lvlText w:val="%5"/>
      <w:lvlJc w:val="left"/>
      <w:pPr>
        <w:ind w:left="3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0E6868">
      <w:start w:val="1"/>
      <w:numFmt w:val="lowerRoman"/>
      <w:lvlText w:val="%6"/>
      <w:lvlJc w:val="left"/>
      <w:pPr>
        <w:ind w:left="3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BE6416E">
      <w:start w:val="1"/>
      <w:numFmt w:val="decimal"/>
      <w:lvlText w:val="%7"/>
      <w:lvlJc w:val="left"/>
      <w:pPr>
        <w:ind w:left="4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52A7C2">
      <w:start w:val="1"/>
      <w:numFmt w:val="lowerLetter"/>
      <w:lvlText w:val="%8"/>
      <w:lvlJc w:val="left"/>
      <w:pPr>
        <w:ind w:left="5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109E6C">
      <w:start w:val="1"/>
      <w:numFmt w:val="lowerRoman"/>
      <w:lvlText w:val="%9"/>
      <w:lvlJc w:val="left"/>
      <w:pPr>
        <w:ind w:left="5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50"/>
  </w:num>
  <w:num w:numId="3">
    <w:abstractNumId w:val="8"/>
  </w:num>
  <w:num w:numId="4">
    <w:abstractNumId w:val="26"/>
  </w:num>
  <w:num w:numId="5">
    <w:abstractNumId w:val="16"/>
  </w:num>
  <w:num w:numId="6">
    <w:abstractNumId w:val="53"/>
  </w:num>
  <w:num w:numId="7">
    <w:abstractNumId w:val="18"/>
  </w:num>
  <w:num w:numId="8">
    <w:abstractNumId w:val="13"/>
  </w:num>
  <w:num w:numId="9">
    <w:abstractNumId w:val="36"/>
  </w:num>
  <w:num w:numId="10">
    <w:abstractNumId w:val="35"/>
  </w:num>
  <w:num w:numId="11">
    <w:abstractNumId w:val="9"/>
  </w:num>
  <w:num w:numId="12">
    <w:abstractNumId w:val="5"/>
  </w:num>
  <w:num w:numId="13">
    <w:abstractNumId w:val="31"/>
  </w:num>
  <w:num w:numId="14">
    <w:abstractNumId w:val="41"/>
  </w:num>
  <w:num w:numId="15">
    <w:abstractNumId w:val="30"/>
  </w:num>
  <w:num w:numId="16">
    <w:abstractNumId w:val="2"/>
  </w:num>
  <w:num w:numId="17">
    <w:abstractNumId w:val="17"/>
  </w:num>
  <w:num w:numId="18">
    <w:abstractNumId w:val="1"/>
  </w:num>
  <w:num w:numId="19">
    <w:abstractNumId w:val="42"/>
  </w:num>
  <w:num w:numId="20">
    <w:abstractNumId w:val="12"/>
  </w:num>
  <w:num w:numId="21">
    <w:abstractNumId w:val="47"/>
  </w:num>
  <w:num w:numId="22">
    <w:abstractNumId w:val="49"/>
  </w:num>
  <w:num w:numId="23">
    <w:abstractNumId w:val="21"/>
  </w:num>
  <w:num w:numId="24">
    <w:abstractNumId w:val="34"/>
  </w:num>
  <w:num w:numId="25">
    <w:abstractNumId w:val="4"/>
  </w:num>
  <w:num w:numId="26">
    <w:abstractNumId w:val="29"/>
  </w:num>
  <w:num w:numId="27">
    <w:abstractNumId w:val="51"/>
  </w:num>
  <w:num w:numId="28">
    <w:abstractNumId w:val="23"/>
  </w:num>
  <w:num w:numId="29">
    <w:abstractNumId w:val="25"/>
  </w:num>
  <w:num w:numId="30">
    <w:abstractNumId w:val="19"/>
  </w:num>
  <w:num w:numId="31">
    <w:abstractNumId w:val="37"/>
  </w:num>
  <w:num w:numId="32">
    <w:abstractNumId w:val="22"/>
  </w:num>
  <w:num w:numId="33">
    <w:abstractNumId w:val="14"/>
  </w:num>
  <w:num w:numId="34">
    <w:abstractNumId w:val="46"/>
  </w:num>
  <w:num w:numId="35">
    <w:abstractNumId w:val="15"/>
  </w:num>
  <w:num w:numId="36">
    <w:abstractNumId w:val="44"/>
  </w:num>
  <w:num w:numId="37">
    <w:abstractNumId w:val="0"/>
  </w:num>
  <w:num w:numId="38">
    <w:abstractNumId w:val="27"/>
  </w:num>
  <w:num w:numId="39">
    <w:abstractNumId w:val="39"/>
  </w:num>
  <w:num w:numId="40">
    <w:abstractNumId w:val="20"/>
  </w:num>
  <w:num w:numId="41">
    <w:abstractNumId w:val="32"/>
  </w:num>
  <w:num w:numId="42">
    <w:abstractNumId w:val="10"/>
  </w:num>
  <w:num w:numId="43">
    <w:abstractNumId w:val="7"/>
  </w:num>
  <w:num w:numId="44">
    <w:abstractNumId w:val="48"/>
  </w:num>
  <w:num w:numId="45">
    <w:abstractNumId w:val="33"/>
  </w:num>
  <w:num w:numId="46">
    <w:abstractNumId w:val="24"/>
  </w:num>
  <w:num w:numId="47">
    <w:abstractNumId w:val="52"/>
  </w:num>
  <w:num w:numId="48">
    <w:abstractNumId w:val="43"/>
  </w:num>
  <w:num w:numId="49">
    <w:abstractNumId w:val="40"/>
  </w:num>
  <w:num w:numId="50">
    <w:abstractNumId w:val="45"/>
  </w:num>
  <w:num w:numId="51">
    <w:abstractNumId w:val="38"/>
  </w:num>
  <w:num w:numId="52">
    <w:abstractNumId w:val="11"/>
  </w:num>
  <w:num w:numId="53">
    <w:abstractNumId w:val="28"/>
  </w:num>
  <w:num w:numId="54">
    <w:abstractNumId w:val="54"/>
  </w:num>
  <w:num w:numId="55">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3CB"/>
    <w:rsid w:val="004A3CD3"/>
    <w:rsid w:val="006C0598"/>
    <w:rsid w:val="00825B93"/>
    <w:rsid w:val="00831397"/>
    <w:rsid w:val="00B165DF"/>
    <w:rsid w:val="00CB2C68"/>
    <w:rsid w:val="00E933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7810B"/>
  <w15:docId w15:val="{28F4683D-309B-4CD5-BB49-89FC17E0E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0" w:line="247" w:lineRule="auto"/>
      <w:ind w:left="2588" w:right="252" w:firstLine="2"/>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55"/>
      </w:numPr>
      <w:spacing w:after="15" w:line="346" w:lineRule="auto"/>
      <w:ind w:left="605" w:right="794" w:firstLine="2"/>
      <w:jc w:val="both"/>
      <w:outlineLvl w:val="0"/>
    </w:pPr>
    <w:rPr>
      <w:rFonts w:ascii="Calibri" w:eastAsia="Calibri" w:hAnsi="Calibri" w:cs="Calibri"/>
      <w:color w:val="000000"/>
    </w:rPr>
  </w:style>
  <w:style w:type="paragraph" w:styleId="Heading2">
    <w:name w:val="heading 2"/>
    <w:next w:val="Normal"/>
    <w:link w:val="Heading2Char"/>
    <w:uiPriority w:val="9"/>
    <w:unhideWhenUsed/>
    <w:qFormat/>
    <w:pPr>
      <w:keepNext/>
      <w:keepLines/>
      <w:spacing w:after="207" w:line="250" w:lineRule="auto"/>
      <w:ind w:left="1040" w:right="227" w:hanging="10"/>
      <w:outlineLvl w:val="1"/>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0"/>
    </w:rPr>
  </w:style>
  <w:style w:type="paragraph" w:customStyle="1" w:styleId="footnotedescription">
    <w:name w:val="footnote description"/>
    <w:next w:val="Normal"/>
    <w:link w:val="footnotedescriptionChar"/>
    <w:hidden/>
    <w:pPr>
      <w:spacing w:after="109"/>
      <w:ind w:left="747"/>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1Char">
    <w:name w:val="Heading 1 Char"/>
    <w:link w:val="Heading1"/>
    <w:rPr>
      <w:rFonts w:ascii="Calibri" w:eastAsia="Calibri" w:hAnsi="Calibri" w:cs="Calibri"/>
      <w:color w:val="000000"/>
      <w:sz w:val="22"/>
    </w:rPr>
  </w:style>
  <w:style w:type="paragraph" w:styleId="TOC1">
    <w:name w:val="toc 1"/>
    <w:hidden/>
    <w:pPr>
      <w:spacing w:after="52" w:line="249" w:lineRule="auto"/>
      <w:ind w:left="182" w:right="804" w:hanging="10"/>
    </w:pPr>
    <w:rPr>
      <w:rFonts w:ascii="Calibri" w:eastAsia="Calibri" w:hAnsi="Calibri" w:cs="Calibri"/>
      <w:b/>
      <w:color w:val="000000"/>
      <w:sz w:val="28"/>
      <w:u w:val="single" w:color="000000"/>
    </w:rPr>
  </w:style>
  <w:style w:type="paragraph" w:styleId="TOC2">
    <w:name w:val="toc 2"/>
    <w:hidden/>
    <w:pPr>
      <w:spacing w:after="27" w:line="247" w:lineRule="auto"/>
      <w:ind w:left="479" w:right="811" w:firstLine="2"/>
      <w:jc w:val="both"/>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831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1397"/>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g"/><Relationship Id="rId42" Type="http://schemas.openxmlformats.org/officeDocument/2006/relationships/hyperlink" Target="https://www.bundesverfassungsgericht.de/SharedDocs/Entscheidungen/EN/2021/03/rs20210324_1bvr265618en.html" TargetMode="External"/><Relationship Id="rId47" Type="http://schemas.openxmlformats.org/officeDocument/2006/relationships/hyperlink" Target="https://www.reuters.com/business/environment/germany-raise-2030-co2-emissions-reduction-target-65-spiegel-2021-05-05/" TargetMode="External"/><Relationship Id="rId63" Type="http://schemas.openxmlformats.org/officeDocument/2006/relationships/image" Target="media/image33.jpg"/><Relationship Id="rId154" Type="http://schemas.openxmlformats.org/officeDocument/2006/relationships/header" Target="header2.xml"/><Relationship Id="rId159" Type="http://schemas.openxmlformats.org/officeDocument/2006/relationships/fontTable" Target="fontTable.xml"/><Relationship Id="rId16" Type="http://schemas.openxmlformats.org/officeDocument/2006/relationships/image" Target="media/image10.jpg"/><Relationship Id="rId11" Type="http://schemas.openxmlformats.org/officeDocument/2006/relationships/image" Target="media/image5.png"/><Relationship Id="rId32" Type="http://schemas.openxmlformats.org/officeDocument/2006/relationships/image" Target="media/image26.jpg"/><Relationship Id="rId37" Type="http://schemas.openxmlformats.org/officeDocument/2006/relationships/hyperlink" Target="https://www.gov.uk/government/news/uk-sets-ambitious-new-climate-target-ahead-of-un-summit" TargetMode="External"/><Relationship Id="rId53" Type="http://schemas.openxmlformats.org/officeDocument/2006/relationships/hyperlink" Target="http://jure.juridat.just.fgov.be/" TargetMode="External"/><Relationship Id="rId58" Type="http://schemas.openxmlformats.org/officeDocument/2006/relationships/hyperlink" Target="https://www.bundesverfassungsgericht.de/SharedDocs/Entscheidungen/EN/2021/03/rs20210324_1bvr265618en.html" TargetMode="External"/><Relationship Id="rId149" Type="http://schemas.openxmlformats.org/officeDocument/2006/relationships/image" Target="media/image3306.jpg"/><Relationship Id="rId5" Type="http://schemas.openxmlformats.org/officeDocument/2006/relationships/footnotes" Target="footnotes.xml"/><Relationship Id="rId61" Type="http://schemas.openxmlformats.org/officeDocument/2006/relationships/hyperlink" Target="https://www.bundesregierung.de/breg-de/themen/klimaschutz/climate-change-act-2021-1936846" TargetMode="External"/><Relationship Id="rId152" Type="http://schemas.openxmlformats.org/officeDocument/2006/relationships/image" Target="media/image36025.jpg"/><Relationship Id="rId160" Type="http://schemas.openxmlformats.org/officeDocument/2006/relationships/theme" Target="theme/theme1.xml"/><Relationship Id="rId19" Type="http://schemas.openxmlformats.org/officeDocument/2006/relationships/image" Target="media/image13.jp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hyperlink" Target="https://www.gov.uk/government/news/uk-enshrines-new-target-in-law-to-slash-emissions-by-78-by-2035" TargetMode="External"/><Relationship Id="rId43" Type="http://schemas.openxmlformats.org/officeDocument/2006/relationships/hyperlink" Target="https://www.bundesverfassungsgericht.de/SharedDocs/Pressemitteilungen/EN/2021/bvg21-031.html" TargetMode="External"/><Relationship Id="rId48" Type="http://schemas.openxmlformats.org/officeDocument/2006/relationships/hyperlink" Target="https://www.reuters.com/business/environment/germany-raise-2030-co2-emissions-reduction-target-65-spiegel-2021-05-05/" TargetMode="External"/><Relationship Id="rId56" Type="http://schemas.openxmlformats.org/officeDocument/2006/relationships/hyperlink" Target="https://www.bundesverfassungsgericht.de/SharedDocs/Entscheidungen/EN/2021/03/rs20210324_1bvr265618en.html" TargetMode="External"/><Relationship Id="rId64" Type="http://schemas.openxmlformats.org/officeDocument/2006/relationships/image" Target="media/image34.jpg"/><Relationship Id="rId147" Type="http://schemas.openxmlformats.org/officeDocument/2006/relationships/image" Target="media/image3128.jpg"/><Relationship Id="rId8" Type="http://schemas.openxmlformats.org/officeDocument/2006/relationships/image" Target="media/image2.png"/><Relationship Id="rId51" Type="http://schemas.openxmlformats.org/officeDocument/2006/relationships/image" Target="media/image30.png"/><Relationship Id="rId150" Type="http://schemas.openxmlformats.org/officeDocument/2006/relationships/image" Target="media/image3409.jpg"/><Relationship Id="rId15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hyperlink" Target="https://www.gov.uk/government/news/uk-sets-ambitious-new-climate-target-ahead-of-un-summit" TargetMode="External"/><Relationship Id="rId46" Type="http://schemas.openxmlformats.org/officeDocument/2006/relationships/hyperlink" Target="https://www.reuters.com/business/environment/germany-raise-2030-co2-emissions-reduction-target-65-spiegel-2021-05-05/" TargetMode="External"/><Relationship Id="rId59" Type="http://schemas.openxmlformats.org/officeDocument/2006/relationships/hyperlink" Target="https://www.bundesregierung.de/breg-de/themen/klimaschutz/climate-change-act-2021-1936846" TargetMode="External"/><Relationship Id="rId67" Type="http://schemas.openxmlformats.org/officeDocument/2006/relationships/image" Target="media/image37.jpg"/><Relationship Id="rId158" Type="http://schemas.openxmlformats.org/officeDocument/2006/relationships/footer" Target="footer3.xml"/><Relationship Id="rId20" Type="http://schemas.openxmlformats.org/officeDocument/2006/relationships/image" Target="media/image14.jpg"/><Relationship Id="rId41" Type="http://schemas.openxmlformats.org/officeDocument/2006/relationships/hyperlink" Target="https://www.bundesverfassungsgericht.de/SharedDocs/Entscheidungen/EN/2021/03/rs20210324_1bvr265618en.html" TargetMode="External"/><Relationship Id="rId54" Type="http://schemas.openxmlformats.org/officeDocument/2006/relationships/image" Target="media/image31.png"/><Relationship Id="rId62" Type="http://schemas.openxmlformats.org/officeDocument/2006/relationships/image" Target="media/image32.jpg"/><Relationship Id="rId15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hyperlink" Target="https://www.gov.uk/government/news/uk-sets-ambitious-new-climate-target-ahead-of-un-summit" TargetMode="External"/><Relationship Id="rId49" Type="http://schemas.openxmlformats.org/officeDocument/2006/relationships/image" Target="media/image28.jpg"/><Relationship Id="rId57" Type="http://schemas.openxmlformats.org/officeDocument/2006/relationships/hyperlink" Target="https://www.bundesverfassungsgericht.de/SharedDocs/Entscheidungen/EN/2021/03/rs20210324_1bvr265618en.html" TargetMode="External"/><Relationship Id="rId10" Type="http://schemas.openxmlformats.org/officeDocument/2006/relationships/image" Target="media/image4.png"/><Relationship Id="rId31" Type="http://schemas.openxmlformats.org/officeDocument/2006/relationships/image" Target="media/image25.jpg"/><Relationship Id="rId44" Type="http://schemas.openxmlformats.org/officeDocument/2006/relationships/hyperlink" Target="https://www.bundesverfassungsgericht.de/SharedDocs/Pressemitteilungen/EN/2021/bvg21-031.html" TargetMode="External"/><Relationship Id="rId52" Type="http://schemas.openxmlformats.org/officeDocument/2006/relationships/hyperlink" Target="http://jure.juridat.just.fgov.be/" TargetMode="External"/><Relationship Id="rId60" Type="http://schemas.openxmlformats.org/officeDocument/2006/relationships/hyperlink" Target="https://www.bundesregierung.de/breg-de/themen/klimaschutz/climate-change-act-2021-1936846" TargetMode="External"/><Relationship Id="rId65" Type="http://schemas.openxmlformats.org/officeDocument/2006/relationships/image" Target="media/image35.jpg"/><Relationship Id="rId148" Type="http://schemas.openxmlformats.org/officeDocument/2006/relationships/image" Target="media/image32019.jpg"/><Relationship Id="rId151" Type="http://schemas.openxmlformats.org/officeDocument/2006/relationships/image" Target="media/image35020.jpg"/><Relationship Id="rId156"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hyperlink" Target="https://www.bundesverfassungsgericht.de/SharedDocs/Entscheidungen/EN/2021/03/rs20210324_1bvr265618en.html" TargetMode="External"/><Relationship Id="rId34" Type="http://schemas.openxmlformats.org/officeDocument/2006/relationships/hyperlink" Target="https://www.gov.uk/government/news/uk-sets-ambitious-new-climate-target-ahead-of-un-summit" TargetMode="External"/><Relationship Id="rId50" Type="http://schemas.openxmlformats.org/officeDocument/2006/relationships/image" Target="media/image29.jpg"/><Relationship Id="rId55" Type="http://schemas.openxmlformats.org/officeDocument/2006/relationships/hyperlink" Target="https://www.bundesverfassungsgericht.de/SharedDocs/Entscheidungen/EN/2021/03/rs20210324_1bvr265618en.html" TargetMode="Externa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g"/><Relationship Id="rId40" Type="http://schemas.openxmlformats.org/officeDocument/2006/relationships/hyperlink" Target="https://www.bundesverfassungsgericht.de/SharedDocs/Entscheidungen/EN/2021/03/rs20210324_1bvr265618en.html" TargetMode="External"/><Relationship Id="rId45" Type="http://schemas.openxmlformats.org/officeDocument/2006/relationships/hyperlink" Target="https://www.bundesverfassungsgericht.de/SharedDocs/Pressemitteilungen/EN/2021/bvg21-031.html" TargetMode="External"/><Relationship Id="rId66" Type="http://schemas.openxmlformats.org/officeDocument/2006/relationships/image" Target="media/image36.jpg"/><Relationship Id="rId157" Type="http://schemas.openxmlformats.org/officeDocument/2006/relationships/header" Target="header3.xml"/></Relationships>
</file>

<file path=word/_rels/footnotes.xml.rels><?xml version="1.0" encoding="UTF-8" standalone="yes"?>
<Relationships xmlns="http://schemas.openxmlformats.org/package/2006/relationships"><Relationship Id="rId13" Type="http://schemas.openxmlformats.org/officeDocument/2006/relationships/hyperlink" Target="https://www.co2.earth/daily-co2" TargetMode="External"/><Relationship Id="rId18" Type="http://schemas.openxmlformats.org/officeDocument/2006/relationships/hyperlink" Target="https://www.unep.org/emissions-gap-report-2020" TargetMode="External"/><Relationship Id="rId26" Type="http://schemas.openxmlformats.org/officeDocument/2006/relationships/hyperlink" Target="https://www.plan.be/publications/publication-2148-fr-perspectives_economiques_regionales_2021_2026" TargetMode="External"/><Relationship Id="rId3" Type="http://schemas.openxmlformats.org/officeDocument/2006/relationships/hyperlink" Target="https://www.ipcc.ch/about/structure/" TargetMode="External"/><Relationship Id="rId21" Type="http://schemas.openxmlformats.org/officeDocument/2006/relationships/hyperlink" Target="https://www.plan.be/publications/publication-2148-fr-perspectives_economiques_regionales_2021_2026" TargetMode="External"/><Relationship Id="rId34" Type="http://schemas.openxmlformats.org/officeDocument/2006/relationships/hyperlink" Target="https://fr.wikipedia.org/wiki/Convention_sur_la_pr%C3%A9vention_de_la_pollution_des_mers_r%C3%A9sultant_de_l%27immersion_de_d%C3%A9chets" TargetMode="External"/><Relationship Id="rId7" Type="http://schemas.openxmlformats.org/officeDocument/2006/relationships/hyperlink" Target="https://www.ipcc.ch/site/assets/uploads/2018/09/ipcc-principles.pdf" TargetMode="External"/><Relationship Id="rId12" Type="http://schemas.openxmlformats.org/officeDocument/2006/relationships/hyperlink" Target="https://www.co2.earth/daily-co2" TargetMode="External"/><Relationship Id="rId17" Type="http://schemas.openxmlformats.org/officeDocument/2006/relationships/hyperlink" Target="https://www.unep.org/emissions-gap-report-2020" TargetMode="External"/><Relationship Id="rId25" Type="http://schemas.openxmlformats.org/officeDocument/2006/relationships/hyperlink" Target="https://www.plan.be/publications/publication-2148-fr-perspectives_economiques_regionales_2021_2026" TargetMode="External"/><Relationship Id="rId33" Type="http://schemas.openxmlformats.org/officeDocument/2006/relationships/hyperlink" Target="https://fr.wikipedia.org/wiki/Convention_sur_la_pr%C3%A9vention_de_la_pollution_des_mers_r%C3%A9sultant_de_l%27immersion_de_d%C3%A9chets" TargetMode="External"/><Relationship Id="rId2" Type="http://schemas.openxmlformats.org/officeDocument/2006/relationships/hyperlink" Target="https://www.ipcc.ch/about/structure/" TargetMode="External"/><Relationship Id="rId16" Type="http://schemas.openxmlformats.org/officeDocument/2006/relationships/hyperlink" Target="https://eur-lex.europa.eu/legal-content/FR/TXT/HTML/?uri=CELEX:52008AE1201&amp;from=MT" TargetMode="External"/><Relationship Id="rId20" Type="http://schemas.openxmlformats.org/officeDocument/2006/relationships/hyperlink" Target="https://www.plan.be/publications/publication-2148-fr-perspectives_economiques_regionales_2021_2026" TargetMode="External"/><Relationship Id="rId29" Type="http://schemas.openxmlformats.org/officeDocument/2006/relationships/hyperlink" Target="https://www.politico.eu/wp-content/uploads/2021/01/29/Brussels-Air-pollution-judgement_29-January-2021.pdf" TargetMode="External"/><Relationship Id="rId1" Type="http://schemas.openxmlformats.org/officeDocument/2006/relationships/hyperlink" Target="https://www.ipcc.ch/about/history/" TargetMode="External"/><Relationship Id="rId6" Type="http://schemas.openxmlformats.org/officeDocument/2006/relationships/hyperlink" Target="https://www.ipcc.ch/site/assets/uploads/2018/09/ipcc-principles.pdf" TargetMode="External"/><Relationship Id="rId11" Type="http://schemas.openxmlformats.org/officeDocument/2006/relationships/hyperlink" Target="https://www.co2.earth/daily-co2" TargetMode="External"/><Relationship Id="rId24" Type="http://schemas.openxmlformats.org/officeDocument/2006/relationships/hyperlink" Target="https://www.plan.be/publications/publication-2148-fr-perspectives_economiques_regionales_2021_2026" TargetMode="External"/><Relationship Id="rId32" Type="http://schemas.openxmlformats.org/officeDocument/2006/relationships/hyperlink" Target="https://www.politico.eu/wp-content/uploads/2021/01/29/Brussels-Air-pollution-judgement_29-January-2021.pdf" TargetMode="External"/><Relationship Id="rId5" Type="http://schemas.openxmlformats.org/officeDocument/2006/relationships/hyperlink" Target="https://www.ipcc.ch/documentation/procedures/" TargetMode="External"/><Relationship Id="rId15" Type="http://schemas.openxmlformats.org/officeDocument/2006/relationships/hyperlink" Target="http://docs.vlaamsparlement.be/pfile?id=103030580" TargetMode="External"/><Relationship Id="rId23" Type="http://schemas.openxmlformats.org/officeDocument/2006/relationships/hyperlink" Target="https://www.plan.be/publications/publication-2148-fr-perspectives_economiques_regionales_2021_2026" TargetMode="External"/><Relationship Id="rId28" Type="http://schemas.openxmlformats.org/officeDocument/2006/relationships/hyperlink" Target="https://www.politico.eu/wp-content/uploads/2021/01/29/Brussels-Air-pollution-judgement_29-January-2021.pdf" TargetMode="External"/><Relationship Id="rId10" Type="http://schemas.openxmlformats.org/officeDocument/2006/relationships/hyperlink" Target="https://www.ipcc.ch/about/structure/" TargetMode="External"/><Relationship Id="rId19" Type="http://schemas.openxmlformats.org/officeDocument/2006/relationships/hyperlink" Target="https://www.plan.be/publications/publication-2148-fr-perspectives_economiques_regionales_2021_2026" TargetMode="External"/><Relationship Id="rId31" Type="http://schemas.openxmlformats.org/officeDocument/2006/relationships/hyperlink" Target="https://www.politico.eu/wp-content/uploads/2021/01/29/Brussels-Air-pollution-judgement_29-January-2021.pdf" TargetMode="External"/><Relationship Id="rId4" Type="http://schemas.openxmlformats.org/officeDocument/2006/relationships/hyperlink" Target="https://www.ipcc.ch/site/assets/uploads/2018/09/ipcc-principles.pdf" TargetMode="External"/><Relationship Id="rId9" Type="http://schemas.openxmlformats.org/officeDocument/2006/relationships/hyperlink" Target="https://www.ipcc.ch/about/structure/" TargetMode="External"/><Relationship Id="rId14" Type="http://schemas.openxmlformats.org/officeDocument/2006/relationships/hyperlink" Target="https://www.co2.earth/daily-co2" TargetMode="External"/><Relationship Id="rId22" Type="http://schemas.openxmlformats.org/officeDocument/2006/relationships/hyperlink" Target="https://www.plan.be/publications/publication-2148-fr-perspectives_economiques_regionales_2021_2026" TargetMode="External"/><Relationship Id="rId27" Type="http://schemas.openxmlformats.org/officeDocument/2006/relationships/hyperlink" Target="https://www.plan.be/publications/publication-2148-fr-perspectives_economiques_regionales_2021_2026" TargetMode="External"/><Relationship Id="rId30" Type="http://schemas.openxmlformats.org/officeDocument/2006/relationships/hyperlink" Target="https://www.politico.eu/wp-content/uploads/2021/01/29/Brussels-Air-pollution-judgement_29-January-2021.pdf" TargetMode="External"/><Relationship Id="rId35" Type="http://schemas.openxmlformats.org/officeDocument/2006/relationships/hyperlink" Target="https://fr.wikipedia.org/wiki/Convention_sur_la_pr%C3%A9vention_de_la_pollution_des_mers_r%C3%A9sultant_de_l%27immersion_de_d%C3%A9chets" TargetMode="External"/><Relationship Id="rId8" Type="http://schemas.openxmlformats.org/officeDocument/2006/relationships/hyperlink" Target="https://www.ipcc.ch/site/assets/uploads/2018/09/ipcc-principles.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27512</Words>
  <Characters>156820</Characters>
  <Application>Microsoft Office Word</Application>
  <DocSecurity>0</DocSecurity>
  <Lines>1306</Lines>
  <Paragraphs>367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Bijou Verhaeghe</dc:creator>
  <cp:keywords/>
  <cp:lastModifiedBy>Sarah Tak</cp:lastModifiedBy>
  <cp:revision>2</cp:revision>
  <dcterms:created xsi:type="dcterms:W3CDTF">2021-11-23T07:42:00Z</dcterms:created>
  <dcterms:modified xsi:type="dcterms:W3CDTF">2021-11-23T07:42:00Z</dcterms:modified>
</cp:coreProperties>
</file>